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Губернатора Иркутской области от 11.12.2023 N 407-уг</w:t>
              <w:br/>
              <w:t xml:space="preserve">(ред. от 18.11.2025)</w:t>
              <w:br/>
              <w:t xml:space="preserve">"О стипендиях Губернатора Иркутской области для одаренных детей и талантливой молодежи за достижения в области культуры и искусства и признании утратившими силу отдельных указов Губернатора Иркутской области"</w:t>
              <w:br/>
              <w:t xml:space="preserve">(вместе с "Положением о стипендиях Губернатора Иркутской области для одаренных детей и талантливой молодежи за достижения в области культуры и искусства")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03.12.2025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11 декабря 2023 года</w:t>
            </w:r>
          </w:p>
        </w:tc>
        <w:tc>
          <w:tcPr>
            <w:tcW w:w="5103" w:type="dxa"/>
            <w:tcBorders>
              <w:top w:val="nil"/>
              <w:left w:val="nil"/>
              <w:bottom w:val="nil"/>
              <w:right w:val="nil"/>
            </w:tcBorders>
          </w:tcPr>
          <w:p>
            <w:pPr>
              <w:pStyle w:val="0"/>
              <w:outlineLvl w:val="0"/>
              <w:jc w:val="right"/>
            </w:pPr>
            <w:r>
              <w:rPr>
                <w:sz w:val="24"/>
              </w:rPr>
              <w:t xml:space="preserve">N 407-уг</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УКАЗ</w:t>
      </w:r>
    </w:p>
    <w:p>
      <w:pPr>
        <w:pStyle w:val="2"/>
        <w:jc w:val="both"/>
      </w:pPr>
      <w:r>
        <w:rPr>
          <w:sz w:val="24"/>
        </w:rPr>
      </w:r>
    </w:p>
    <w:p>
      <w:pPr>
        <w:pStyle w:val="2"/>
        <w:jc w:val="center"/>
      </w:pPr>
      <w:r>
        <w:rPr>
          <w:sz w:val="24"/>
        </w:rPr>
        <w:t xml:space="preserve">ГУБЕРНАТОРА ИРКУТСКОЙ ОБЛАСТИ</w:t>
      </w:r>
    </w:p>
    <w:p>
      <w:pPr>
        <w:pStyle w:val="2"/>
        <w:jc w:val="both"/>
      </w:pPr>
      <w:r>
        <w:rPr>
          <w:sz w:val="24"/>
        </w:rPr>
      </w:r>
    </w:p>
    <w:p>
      <w:pPr>
        <w:pStyle w:val="2"/>
        <w:jc w:val="center"/>
      </w:pPr>
      <w:r>
        <w:rPr>
          <w:sz w:val="24"/>
        </w:rPr>
        <w:t xml:space="preserve">О СТИПЕНДИЯХ ГУБЕРНАТОРА ИРКУТСКОЙ ОБЛАСТИ ДЛЯ ОДАРЕННЫХ</w:t>
      </w:r>
    </w:p>
    <w:p>
      <w:pPr>
        <w:pStyle w:val="2"/>
        <w:jc w:val="center"/>
      </w:pPr>
      <w:r>
        <w:rPr>
          <w:sz w:val="24"/>
        </w:rPr>
        <w:t xml:space="preserve">ДЕТЕЙ И ТАЛАНТЛИВОЙ МОЛОДЕЖИ ЗА ДОСТИЖЕНИЯ В ОБЛАСТИ</w:t>
      </w:r>
    </w:p>
    <w:p>
      <w:pPr>
        <w:pStyle w:val="2"/>
        <w:jc w:val="center"/>
      </w:pPr>
      <w:r>
        <w:rPr>
          <w:sz w:val="24"/>
        </w:rPr>
        <w:t xml:space="preserve">КУЛЬТУРЫ И ИСКУССТВА И ПРИЗНАНИИ УТРАТИВШИМИ СИЛУ</w:t>
      </w:r>
    </w:p>
    <w:p>
      <w:pPr>
        <w:pStyle w:val="2"/>
        <w:jc w:val="center"/>
      </w:pPr>
      <w:r>
        <w:rPr>
          <w:sz w:val="24"/>
        </w:rPr>
        <w:t xml:space="preserve">ОТДЕЛЬНЫХ УКАЗОВ ГУБЕРНАТОРА ИРКУТСКОЙ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Губернатора Иркутской области</w:t>
            </w:r>
          </w:p>
          <w:p>
            <w:pPr>
              <w:pStyle w:val="0"/>
              <w:jc w:val="center"/>
            </w:pPr>
            <w:r>
              <w:rPr>
                <w:sz w:val="24"/>
                <w:color w:val="392c69"/>
              </w:rPr>
              <w:t xml:space="preserve">от 01.04.2024 </w:t>
            </w:r>
            <w:hyperlink w:history="0" r:id="rId8" w:tooltip="Указ Губернатора Иркутской области от 01.04.2024 N 128-уг &quot;О внесении изменения в абзац второй пункта 7 Положения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N 128-уг</w:t>
              </w:r>
            </w:hyperlink>
            <w:r>
              <w:rPr>
                <w:sz w:val="24"/>
                <w:color w:val="392c69"/>
              </w:rPr>
              <w:t xml:space="preserve">, от 05.11.2024 </w:t>
            </w:r>
            <w:hyperlink w:history="0" r:id="rId9" w:tooltip="Указ Губернатора Иркутской области от 05.11.2024 N 414-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N 414-уг</w:t>
              </w:r>
            </w:hyperlink>
            <w:r>
              <w:rPr>
                <w:sz w:val="24"/>
                <w:color w:val="392c69"/>
              </w:rPr>
              <w:t xml:space="preserve">, от 18.11.2025 </w:t>
            </w:r>
            <w:hyperlink w:history="0" r:id="rId10"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N 369-уг</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1" w:tooltip="Закон Иркутской области от 29.12.2007 N 154-оз (ред. от 07.11.2023) &quot;О государственной поддержке культуры в Иркутской области&quot; (принят Постановлением Законодательного Собрания Иркутской области от 20.12.2007 N 38/7а/7-СЗ) {КонсультантПлюс}">
        <w:r>
          <w:rPr>
            <w:sz w:val="24"/>
            <w:color w:val="0000ff"/>
          </w:rPr>
          <w:t xml:space="preserve">Законом</w:t>
        </w:r>
      </w:hyperlink>
      <w:r>
        <w:rPr>
          <w:sz w:val="24"/>
        </w:rPr>
        <w:t xml:space="preserve"> Иркутской области от 29 декабря 2007 года N 154-оз "О государственной поддержке культуры в Иркутской области", руководствуясь </w:t>
      </w:r>
      <w:hyperlink w:history="0" r:id="rId12" w:tooltip="&quot;Устав Иркутской области&quot; от 17.04.2009 N 1 (принят Постановлением Законодательного Собрания Иркутской области от 15.04.2009 N 9/5-ЗС) (ред. от 28.11.2024) {КонсультантПлюс}">
        <w:r>
          <w:rPr>
            <w:sz w:val="24"/>
            <w:color w:val="0000ff"/>
          </w:rPr>
          <w:t xml:space="preserve">статьей 59</w:t>
        </w:r>
      </w:hyperlink>
      <w:r>
        <w:rPr>
          <w:sz w:val="24"/>
        </w:rPr>
        <w:t xml:space="preserve"> Устава Иркутской области, постановляю:</w:t>
      </w:r>
    </w:p>
    <w:p>
      <w:pPr>
        <w:pStyle w:val="0"/>
        <w:jc w:val="both"/>
      </w:pPr>
      <w:r>
        <w:rPr>
          <w:sz w:val="24"/>
        </w:rPr>
      </w:r>
    </w:p>
    <w:p>
      <w:pPr>
        <w:pStyle w:val="0"/>
        <w:ind w:firstLine="540"/>
        <w:jc w:val="both"/>
      </w:pPr>
      <w:r>
        <w:rPr>
          <w:sz w:val="24"/>
        </w:rPr>
        <w:t xml:space="preserve">1. Учредить стипендии Губернатора Иркутской области для одаренных детей и талантливой молодежи за достижения в области культуры и искусства.</w:t>
      </w:r>
    </w:p>
    <w:p>
      <w:pPr>
        <w:pStyle w:val="0"/>
        <w:jc w:val="both"/>
      </w:pPr>
      <w:r>
        <w:rPr>
          <w:sz w:val="24"/>
        </w:rPr>
      </w:r>
    </w:p>
    <w:p>
      <w:pPr>
        <w:pStyle w:val="0"/>
        <w:ind w:firstLine="540"/>
        <w:jc w:val="both"/>
      </w:pPr>
      <w:r>
        <w:rPr>
          <w:sz w:val="24"/>
        </w:rPr>
        <w:t xml:space="preserve">2. Утвердить </w:t>
      </w:r>
      <w:hyperlink w:history="0" w:anchor="P47" w:tooltip="ПОЛОЖЕНИЕ">
        <w:r>
          <w:rPr>
            <w:sz w:val="24"/>
            <w:color w:val="0000ff"/>
          </w:rPr>
          <w:t xml:space="preserve">Положение</w:t>
        </w:r>
      </w:hyperlink>
      <w:r>
        <w:rPr>
          <w:sz w:val="24"/>
        </w:rPr>
        <w:t xml:space="preserve"> о стипендиях Губернатора Иркутской области для одаренных детей и талантливой молодежи за достижения в области культуры и искусства (прилагается).</w:t>
      </w:r>
    </w:p>
    <w:p>
      <w:pPr>
        <w:pStyle w:val="0"/>
        <w:jc w:val="both"/>
      </w:pPr>
      <w:r>
        <w:rPr>
          <w:sz w:val="24"/>
        </w:rPr>
      </w:r>
    </w:p>
    <w:p>
      <w:pPr>
        <w:pStyle w:val="0"/>
        <w:ind w:firstLine="540"/>
        <w:jc w:val="both"/>
      </w:pPr>
      <w:r>
        <w:rPr>
          <w:sz w:val="24"/>
        </w:rPr>
        <w:t xml:space="preserve">3. Признать утратившими силу:</w:t>
      </w:r>
    </w:p>
    <w:p>
      <w:pPr>
        <w:pStyle w:val="0"/>
        <w:spacing w:before="240" w:lineRule="auto"/>
        <w:ind w:firstLine="540"/>
        <w:jc w:val="both"/>
      </w:pPr>
      <w:r>
        <w:rPr>
          <w:sz w:val="24"/>
        </w:rPr>
        <w:t xml:space="preserve">1) </w:t>
      </w:r>
      <w:hyperlink w:history="0" r:id="rId13" w:tooltip="Указ Губернатора Иркутской области от 30.03.2012 N 72-уг (ред. от 13.12.2022) &quot;О стипендиях Губернатора Иркутской области для одаренных детей и талантливой молодежи за достижения в области культуры и искусства&quot; (вместе с &quot;Положением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quot;) ------------ Утратил силу или отменен {КонсультантПлюс}">
        <w:r>
          <w:rPr>
            <w:sz w:val="24"/>
            <w:color w:val="0000ff"/>
          </w:rPr>
          <w:t xml:space="preserve">указ</w:t>
        </w:r>
      </w:hyperlink>
      <w:r>
        <w:rPr>
          <w:sz w:val="24"/>
        </w:rPr>
        <w:t xml:space="preserve"> Губернатора Иркутской области от 30 марта 2012 года N 72-уг "О стипендиях Губернатора Иркутской области для одаренных детей и талантливой молодежи за достижения в области культуры и искусства";</w:t>
      </w:r>
    </w:p>
    <w:p>
      <w:pPr>
        <w:pStyle w:val="0"/>
        <w:spacing w:before="240" w:lineRule="auto"/>
        <w:ind w:firstLine="540"/>
        <w:jc w:val="both"/>
      </w:pPr>
      <w:r>
        <w:rPr>
          <w:sz w:val="24"/>
        </w:rPr>
        <w:t xml:space="preserve">2) </w:t>
      </w:r>
      <w:hyperlink w:history="0" r:id="rId14" w:tooltip="Указ Губернатора Иркутской области от 09.06.2014 N 169-уг &quot;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quot; ------------ Утратил силу или отменен {КонсультантПлюс}">
        <w:r>
          <w:rPr>
            <w:sz w:val="24"/>
            <w:color w:val="0000ff"/>
          </w:rPr>
          <w:t xml:space="preserve">указ</w:t>
        </w:r>
      </w:hyperlink>
      <w:r>
        <w:rPr>
          <w:sz w:val="24"/>
        </w:rPr>
        <w:t xml:space="preserve"> Губернатора Иркутской области от 9 июня 2014 года N 169-уг "О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w:t>
      </w:r>
    </w:p>
    <w:p>
      <w:pPr>
        <w:pStyle w:val="0"/>
        <w:spacing w:before="240" w:lineRule="auto"/>
        <w:ind w:firstLine="540"/>
        <w:jc w:val="both"/>
      </w:pPr>
      <w:r>
        <w:rPr>
          <w:sz w:val="24"/>
        </w:rPr>
        <w:t xml:space="preserve">3) </w:t>
      </w:r>
      <w:hyperlink w:history="0" r:id="rId15" w:tooltip="Указ Губернатора Иркутской области от 09.11.2016 N 269-уг &quot;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quot; ------------ Утратил силу или отменен {КонсультантПлюс}">
        <w:r>
          <w:rPr>
            <w:sz w:val="24"/>
            <w:color w:val="0000ff"/>
          </w:rPr>
          <w:t xml:space="preserve">указ</w:t>
        </w:r>
      </w:hyperlink>
      <w:r>
        <w:rPr>
          <w:sz w:val="24"/>
        </w:rPr>
        <w:t xml:space="preserve"> Губернатора Иркутской области от 9 ноября 2016 года N 269-уг "О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w:t>
      </w:r>
    </w:p>
    <w:p>
      <w:pPr>
        <w:pStyle w:val="0"/>
        <w:spacing w:before="240" w:lineRule="auto"/>
        <w:ind w:firstLine="540"/>
        <w:jc w:val="both"/>
      </w:pPr>
      <w:r>
        <w:rPr>
          <w:sz w:val="24"/>
        </w:rPr>
        <w:t xml:space="preserve">4) </w:t>
      </w:r>
      <w:hyperlink w:history="0" r:id="rId16" w:tooltip="Указ Губернатора Иркутской области от 12.12.2017 N 227-уг (ред. от 29.01.2018) &quot;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quot; ------------ Утратил силу или отменен {КонсультантПлюс}">
        <w:r>
          <w:rPr>
            <w:sz w:val="24"/>
            <w:color w:val="0000ff"/>
          </w:rPr>
          <w:t xml:space="preserve">указ</w:t>
        </w:r>
      </w:hyperlink>
      <w:r>
        <w:rPr>
          <w:sz w:val="24"/>
        </w:rPr>
        <w:t xml:space="preserve"> Губернатора Иркутской области от 12 декабря 2017 года N 227-уг "О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w:t>
      </w:r>
    </w:p>
    <w:p>
      <w:pPr>
        <w:pStyle w:val="0"/>
        <w:spacing w:before="240" w:lineRule="auto"/>
        <w:ind w:firstLine="540"/>
        <w:jc w:val="both"/>
      </w:pPr>
      <w:r>
        <w:rPr>
          <w:sz w:val="24"/>
        </w:rPr>
        <w:t xml:space="preserve">5) </w:t>
      </w:r>
      <w:hyperlink w:history="0" r:id="rId17" w:tooltip="Указ Губернатора Иркутской области от 29.01.2018 N 15-уг &quot;О внесении изменения в пункт 3 указа Губернатора Иркутской области от 12 декабря 2017 года N 227-уг&quot; ------------ Утратил силу или отменен {КонсультантПлюс}">
        <w:r>
          <w:rPr>
            <w:sz w:val="24"/>
            <w:color w:val="0000ff"/>
          </w:rPr>
          <w:t xml:space="preserve">указ</w:t>
        </w:r>
      </w:hyperlink>
      <w:r>
        <w:rPr>
          <w:sz w:val="24"/>
        </w:rPr>
        <w:t xml:space="preserve"> Губернатора Иркутской области от 29 января 2018 года N 15-уг "О внесении изменения в пункт 3 указа Губернатора Иркутской области от 12 декабря 2017 года N 227-уг";</w:t>
      </w:r>
    </w:p>
    <w:p>
      <w:pPr>
        <w:pStyle w:val="0"/>
        <w:spacing w:before="240" w:lineRule="auto"/>
        <w:ind w:firstLine="540"/>
        <w:jc w:val="both"/>
      </w:pPr>
      <w:r>
        <w:rPr>
          <w:sz w:val="24"/>
        </w:rPr>
        <w:t xml:space="preserve">6) </w:t>
      </w:r>
      <w:hyperlink w:history="0" r:id="rId18" w:tooltip="Указ Губернатора Иркутской области от 10.09.2019 N 205-уг &quot;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quot; ------------ Утратил силу или отменен {КонсультантПлюс}">
        <w:r>
          <w:rPr>
            <w:sz w:val="24"/>
            <w:color w:val="0000ff"/>
          </w:rPr>
          <w:t xml:space="preserve">указ</w:t>
        </w:r>
      </w:hyperlink>
      <w:r>
        <w:rPr>
          <w:sz w:val="24"/>
        </w:rPr>
        <w:t xml:space="preserve"> Губернатора Иркутской области от 10 сентября 2019 года N 205-уг "О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w:t>
      </w:r>
    </w:p>
    <w:p>
      <w:pPr>
        <w:pStyle w:val="0"/>
        <w:spacing w:before="240" w:lineRule="auto"/>
        <w:ind w:firstLine="540"/>
        <w:jc w:val="both"/>
      </w:pPr>
      <w:r>
        <w:rPr>
          <w:sz w:val="24"/>
        </w:rPr>
        <w:t xml:space="preserve">7) </w:t>
      </w:r>
      <w:hyperlink w:history="0" r:id="rId19" w:tooltip="Указ Губернатора Иркутской области от 14.04.2020 N 103-уг &quot;О внесении изменений в указ Губернатора Иркутской области от 30 марта 2012 года N 72-уг&quot; ------------ Утратил силу или отменен {КонсультантПлюс}">
        <w:r>
          <w:rPr>
            <w:sz w:val="24"/>
            <w:color w:val="0000ff"/>
          </w:rPr>
          <w:t xml:space="preserve">указ</w:t>
        </w:r>
      </w:hyperlink>
      <w:r>
        <w:rPr>
          <w:sz w:val="24"/>
        </w:rPr>
        <w:t xml:space="preserve"> Губернатора Иркутской области от 14 апреля 2020 года N 103-уг "О внесении изменений в указ Губернатора Иркутской области от 30 марта 2012 года N 72-уг";</w:t>
      </w:r>
    </w:p>
    <w:p>
      <w:pPr>
        <w:pStyle w:val="0"/>
        <w:spacing w:before="240" w:lineRule="auto"/>
        <w:ind w:firstLine="540"/>
        <w:jc w:val="both"/>
      </w:pPr>
      <w:r>
        <w:rPr>
          <w:sz w:val="24"/>
        </w:rPr>
        <w:t xml:space="preserve">8) </w:t>
      </w:r>
      <w:hyperlink w:history="0" r:id="rId20" w:tooltip="Указ Губернатора Иркутской области от 30.11.2020 N 332-уг &quot;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quot; ------------ Утратил силу или отменен {КонсультантПлюс}">
        <w:r>
          <w:rPr>
            <w:sz w:val="24"/>
            <w:color w:val="0000ff"/>
          </w:rPr>
          <w:t xml:space="preserve">указ</w:t>
        </w:r>
      </w:hyperlink>
      <w:r>
        <w:rPr>
          <w:sz w:val="24"/>
        </w:rPr>
        <w:t xml:space="preserve"> Губернатора Иркутской области от 30 ноября 2020 года N 332-уг "О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w:t>
      </w:r>
    </w:p>
    <w:p>
      <w:pPr>
        <w:pStyle w:val="0"/>
        <w:spacing w:before="240" w:lineRule="auto"/>
        <w:ind w:firstLine="540"/>
        <w:jc w:val="both"/>
      </w:pPr>
      <w:r>
        <w:rPr>
          <w:sz w:val="24"/>
        </w:rPr>
        <w:t xml:space="preserve">9) </w:t>
      </w:r>
      <w:hyperlink w:history="0" r:id="rId21" w:tooltip="Указ Губернатора Иркутской области от 13.12.2022 N 313-уг &quot;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quot; ------------ Утратил силу или отменен {КонсультантПлюс}">
        <w:r>
          <w:rPr>
            <w:sz w:val="24"/>
            <w:color w:val="0000ff"/>
          </w:rPr>
          <w:t xml:space="preserve">указ</w:t>
        </w:r>
      </w:hyperlink>
      <w:r>
        <w:rPr>
          <w:sz w:val="24"/>
        </w:rPr>
        <w:t xml:space="preserve"> Губернатора Иркутской области от 13 декабря 2022 года N 313-уг "О внесении изменений в Положение об условиях назначения и порядке выплаты стипендий Губернатора Иркутской области для одаренных детей и талантливой молодежи за достижения в области культуры и искусства".</w:t>
      </w:r>
    </w:p>
    <w:p>
      <w:pPr>
        <w:pStyle w:val="0"/>
        <w:jc w:val="both"/>
      </w:pPr>
      <w:r>
        <w:rPr>
          <w:sz w:val="24"/>
        </w:rPr>
      </w:r>
    </w:p>
    <w:p>
      <w:pPr>
        <w:pStyle w:val="0"/>
        <w:ind w:firstLine="540"/>
        <w:jc w:val="both"/>
      </w:pPr>
      <w:r>
        <w:rPr>
          <w:sz w:val="24"/>
        </w:rPr>
        <w:t xml:space="preserve">4. Настоящий указ подлежит официальному опубликованию в общественно-политической газете "Областная", сетевом издании "Официальный интернет-портал правовой информации Иркутской области" (</w:t>
      </w:r>
      <w:hyperlink w:history="0" r:id="rId22">
        <w:r>
          <w:rPr>
            <w:sz w:val="24"/>
            <w:color w:val="0000ff"/>
          </w:rPr>
          <w:t xml:space="preserve">ogirk.ru</w:t>
        </w:r>
      </w:hyperlink>
      <w:r>
        <w:rPr>
          <w:sz w:val="24"/>
        </w:rPr>
        <w:t xml:space="preserve">), а также на "Официальном интернет-портале правовой информации" (</w:t>
      </w:r>
      <w:hyperlink w:history="0" r:id="rId23">
        <w:r>
          <w:rPr>
            <w:sz w:val="24"/>
            <w:color w:val="0000ff"/>
          </w:rPr>
          <w:t xml:space="preserve">www.pravo.gov.ru</w:t>
        </w:r>
      </w:hyperlink>
      <w:r>
        <w:rPr>
          <w:sz w:val="24"/>
        </w:rPr>
        <w:t xml:space="preserve">).</w:t>
      </w:r>
    </w:p>
    <w:p>
      <w:pPr>
        <w:pStyle w:val="0"/>
        <w:jc w:val="both"/>
      </w:pPr>
      <w:r>
        <w:rPr>
          <w:sz w:val="24"/>
        </w:rPr>
      </w:r>
    </w:p>
    <w:p>
      <w:pPr>
        <w:pStyle w:val="0"/>
        <w:ind w:firstLine="540"/>
        <w:jc w:val="both"/>
      </w:pPr>
      <w:r>
        <w:rPr>
          <w:sz w:val="24"/>
        </w:rPr>
        <w:t xml:space="preserve">5. Настоящий указ вступает в силу со дня его официального опубликования.</w:t>
      </w:r>
    </w:p>
    <w:p>
      <w:pPr>
        <w:pStyle w:val="0"/>
        <w:jc w:val="both"/>
      </w:pPr>
      <w:r>
        <w:rPr>
          <w:sz w:val="24"/>
        </w:rPr>
      </w:r>
    </w:p>
    <w:p>
      <w:pPr>
        <w:pStyle w:val="0"/>
        <w:jc w:val="right"/>
      </w:pPr>
      <w:r>
        <w:rPr>
          <w:sz w:val="24"/>
        </w:rPr>
        <w:t xml:space="preserve">И.И.КОБЗЕВ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указом Губернатора Иркутской области</w:t>
      </w:r>
    </w:p>
    <w:p>
      <w:pPr>
        <w:pStyle w:val="0"/>
        <w:jc w:val="right"/>
      </w:pPr>
      <w:r>
        <w:rPr>
          <w:sz w:val="24"/>
        </w:rPr>
        <w:t xml:space="preserve">от 11 декабря 2023 г. N 407-уг</w:t>
      </w:r>
    </w:p>
    <w:p>
      <w:pPr>
        <w:pStyle w:val="0"/>
        <w:jc w:val="both"/>
      </w:pPr>
      <w:r>
        <w:rPr>
          <w:sz w:val="24"/>
        </w:rPr>
      </w:r>
    </w:p>
    <w:bookmarkStart w:id="47" w:name="P47"/>
    <w:bookmarkEnd w:id="47"/>
    <w:p>
      <w:pPr>
        <w:pStyle w:val="2"/>
        <w:jc w:val="center"/>
      </w:pPr>
      <w:r>
        <w:rPr>
          <w:sz w:val="24"/>
        </w:rPr>
        <w:t xml:space="preserve">ПОЛОЖЕНИЕ</w:t>
      </w:r>
    </w:p>
    <w:p>
      <w:pPr>
        <w:pStyle w:val="2"/>
        <w:jc w:val="center"/>
      </w:pPr>
      <w:r>
        <w:rPr>
          <w:sz w:val="24"/>
        </w:rPr>
        <w:t xml:space="preserve">О СТИПЕНДИЯХ ГУБЕРНАТОРА ИРКУТСКОЙ ОБЛАСТИ</w:t>
      </w:r>
    </w:p>
    <w:p>
      <w:pPr>
        <w:pStyle w:val="2"/>
        <w:jc w:val="center"/>
      </w:pPr>
      <w:r>
        <w:rPr>
          <w:sz w:val="24"/>
        </w:rPr>
        <w:t xml:space="preserve">ДЛЯ ОДАРЕННЫХ ДЕТЕЙ И ТАЛАНТЛИВОЙ МОЛОДЕЖИ</w:t>
      </w:r>
    </w:p>
    <w:p>
      <w:pPr>
        <w:pStyle w:val="2"/>
        <w:jc w:val="center"/>
      </w:pPr>
      <w:r>
        <w:rPr>
          <w:sz w:val="24"/>
        </w:rPr>
        <w:t xml:space="preserve">ЗА ДОСТИЖЕНИЯ В ОБЛАСТИ КУЛЬТУРЫ И ИСКУССТВА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Губернатора Иркутской области</w:t>
            </w:r>
          </w:p>
          <w:p>
            <w:pPr>
              <w:pStyle w:val="0"/>
              <w:jc w:val="center"/>
            </w:pPr>
            <w:r>
              <w:rPr>
                <w:sz w:val="24"/>
                <w:color w:val="392c69"/>
              </w:rPr>
              <w:t xml:space="preserve">от 01.04.2024 </w:t>
            </w:r>
            <w:hyperlink w:history="0" r:id="rId24" w:tooltip="Указ Губернатора Иркутской области от 01.04.2024 N 128-уг &quot;О внесении изменения в абзац второй пункта 7 Положения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N 128-уг</w:t>
              </w:r>
            </w:hyperlink>
            <w:r>
              <w:rPr>
                <w:sz w:val="24"/>
                <w:color w:val="392c69"/>
              </w:rPr>
              <w:t xml:space="preserve">, от 05.11.2024 </w:t>
            </w:r>
            <w:hyperlink w:history="0" r:id="rId25" w:tooltip="Указ Губернатора Иркутской области от 05.11.2024 N 414-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N 414-уг</w:t>
              </w:r>
            </w:hyperlink>
            <w:r>
              <w:rPr>
                <w:sz w:val="24"/>
                <w:color w:val="392c69"/>
              </w:rPr>
              <w:t xml:space="preserve">, от 18.11.2025 </w:t>
            </w:r>
            <w:hyperlink w:history="0" r:id="rId26"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N 369-уг</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Глава 1. ОБЩИЕ ПОЛОЖЕНИЯ</w:t>
      </w:r>
    </w:p>
    <w:p>
      <w:pPr>
        <w:pStyle w:val="0"/>
        <w:jc w:val="both"/>
      </w:pPr>
      <w:r>
        <w:rPr>
          <w:sz w:val="24"/>
        </w:rPr>
      </w:r>
    </w:p>
    <w:p>
      <w:pPr>
        <w:pStyle w:val="0"/>
        <w:ind w:firstLine="540"/>
        <w:jc w:val="both"/>
      </w:pPr>
      <w:r>
        <w:rPr>
          <w:sz w:val="24"/>
        </w:rPr>
        <w:t xml:space="preserve">1. Настоящим Положением определяются условия, размер и порядок предоставления стипендий Губернатора Иркутской области для одаренных детей и талантливой молодежи за достижения в области культуры и искусства (далее - стипендии).</w:t>
      </w:r>
    </w:p>
    <w:bookmarkStart w:id="58" w:name="P58"/>
    <w:bookmarkEnd w:id="58"/>
    <w:p>
      <w:pPr>
        <w:pStyle w:val="0"/>
        <w:spacing w:before="240" w:lineRule="auto"/>
        <w:ind w:firstLine="540"/>
        <w:jc w:val="both"/>
      </w:pPr>
      <w:r>
        <w:rPr>
          <w:sz w:val="24"/>
        </w:rPr>
        <w:t xml:space="preserve">2. Кандидатами на получение стипендий вправе выступать постоянно проживающие на территории Иркутской области граждане Российской Федерации в возрасте до 21 года включительно, достигшие творческих успехов в области культуры и искусства в течение одного года, предшествующего году предоставления стипендий, и являющиеся (далее - кандидаты):</w:t>
      </w:r>
    </w:p>
    <w:p>
      <w:pPr>
        <w:pStyle w:val="0"/>
        <w:jc w:val="both"/>
      </w:pPr>
      <w:r>
        <w:rPr>
          <w:sz w:val="24"/>
        </w:rPr>
        <w:t xml:space="preserve">(в ред. </w:t>
      </w:r>
      <w:hyperlink w:history="0" r:id="rId27"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p>
      <w:pPr>
        <w:pStyle w:val="0"/>
        <w:spacing w:before="240" w:lineRule="auto"/>
        <w:ind w:firstLine="540"/>
        <w:jc w:val="both"/>
      </w:pPr>
      <w:r>
        <w:rPr>
          <w:sz w:val="24"/>
        </w:rPr>
        <w:t xml:space="preserve">1) обучающимися государственных организаций дополнительного образования Иркутской области и муниципальных организаций дополнительного образования в Иркутской области, государственных нетиповых общеобразовательных организаций Иркутской области, реализующих образовательные программы в области искусств, участниками творческих коллективов (клубных формирований) при государственных учреждениях культуры Иркутской области и муниципальных учреждениях культуры в Иркутской области (далее - одаренные дети);</w:t>
      </w:r>
    </w:p>
    <w:p>
      <w:pPr>
        <w:pStyle w:val="0"/>
        <w:spacing w:before="240" w:lineRule="auto"/>
        <w:ind w:firstLine="540"/>
        <w:jc w:val="both"/>
      </w:pPr>
      <w:r>
        <w:rPr>
          <w:sz w:val="24"/>
        </w:rPr>
        <w:t xml:space="preserve">2) обучающимися государственных профессиональных образовательных организаций Иркутской области и федеральных государственных образовательных организаций высшего образования, реализующих образовательные программы в области искусств на территории Иркутской области (далее - талантливая молодежь).</w:t>
      </w:r>
    </w:p>
    <w:bookmarkStart w:id="62" w:name="P62"/>
    <w:bookmarkEnd w:id="62"/>
    <w:p>
      <w:pPr>
        <w:pStyle w:val="0"/>
        <w:spacing w:before="240" w:lineRule="auto"/>
        <w:ind w:firstLine="540"/>
        <w:jc w:val="both"/>
      </w:pPr>
      <w:r>
        <w:rPr>
          <w:sz w:val="24"/>
        </w:rPr>
        <w:t xml:space="preserve">3. Выдвижение кандидатов для участия в отборе для предоставления стипендий (далее - отбор) осуществляется:</w:t>
      </w:r>
    </w:p>
    <w:p>
      <w:pPr>
        <w:pStyle w:val="0"/>
        <w:spacing w:before="240" w:lineRule="auto"/>
        <w:ind w:firstLine="540"/>
        <w:jc w:val="both"/>
      </w:pPr>
      <w:r>
        <w:rPr>
          <w:sz w:val="24"/>
        </w:rPr>
        <w:t xml:space="preserve">1) государственными организациями дополнительного образования Иркутской области, государственными нетиповыми общеобразовательными организациями Иркутской области, реализующими образовательные программы в области искусств, государственными учреждениями культуры Иркутской области, государственными профессиональными образовательными организациями Иркутской области, федеральными государственными образовательными организациями высшего образования, реализующими образовательные программы в области искусств на территории Иркутской области, - в отношении обучающихся государственных организаций дополнительного образования Иркутской области, государственных нетиповых общеобразовательных организаций Иркутской области, творческих коллективов (клубных формирований) при государственных учреждениях культуры Иркутской области, обучающихся государственных профессиональных образовательных организаций Иркутской области и федеральных государственных образовательных организаций высшего образования;</w:t>
      </w:r>
    </w:p>
    <w:p>
      <w:pPr>
        <w:pStyle w:val="0"/>
        <w:spacing w:before="240" w:lineRule="auto"/>
        <w:ind w:firstLine="540"/>
        <w:jc w:val="both"/>
      </w:pPr>
      <w:r>
        <w:rPr>
          <w:sz w:val="24"/>
        </w:rPr>
        <w:t xml:space="preserve">2) органами местного самоуправления муниципальных образований Иркутской области - в отношении обучающихся муниципальных организаций дополнительного образования в Иркутской области, творческих коллективов (клубных формирований) при муниципальных учреждениях культуры в Иркутской области.</w:t>
      </w:r>
    </w:p>
    <w:bookmarkStart w:id="65" w:name="P65"/>
    <w:bookmarkEnd w:id="65"/>
    <w:p>
      <w:pPr>
        <w:pStyle w:val="0"/>
        <w:spacing w:before="240" w:lineRule="auto"/>
        <w:ind w:firstLine="540"/>
        <w:jc w:val="both"/>
      </w:pPr>
      <w:r>
        <w:rPr>
          <w:sz w:val="24"/>
        </w:rPr>
        <w:t xml:space="preserve">4. При выдвижении кандидатов, являющихся участниками творческих коллективов (клубных формирований) при государственных учреждениях культуры Иркутской области и муниципальных учреждениях культуры в Иркутской области (далее - творческие коллективы (клубные формирования)), орган или организация, указанная в </w:t>
      </w:r>
      <w:hyperlink w:history="0" w:anchor="P62" w:tooltip="3. Выдвижение кандидатов для участия в отборе для предоставления стипендий (далее - отбор) осуществляется:">
        <w:r>
          <w:rPr>
            <w:sz w:val="24"/>
            <w:color w:val="0000ff"/>
          </w:rPr>
          <w:t xml:space="preserve">пункте 3</w:t>
        </w:r>
      </w:hyperlink>
      <w:r>
        <w:rPr>
          <w:sz w:val="24"/>
        </w:rPr>
        <w:t xml:space="preserve"> настоящего Положения (далее - орган и организация), может выдвинуть для участия в отборе один творческий коллектив (клубное формирование). От творческого коллектива (клубного формирования) могут быть выдвинуты не более трех человек.</w:t>
      </w:r>
    </w:p>
    <w:p>
      <w:pPr>
        <w:pStyle w:val="0"/>
        <w:jc w:val="both"/>
      </w:pPr>
      <w:r>
        <w:rPr>
          <w:sz w:val="24"/>
        </w:rPr>
        <w:t xml:space="preserve">(в ред. </w:t>
      </w:r>
      <w:hyperlink w:history="0" r:id="rId28" w:tooltip="Указ Губернатора Иркутской области от 05.11.2024 N 414-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05.11.2024 N 414-уг)</w:t>
      </w:r>
    </w:p>
    <w:p>
      <w:pPr>
        <w:pStyle w:val="0"/>
        <w:spacing w:before="240" w:lineRule="auto"/>
        <w:ind w:firstLine="540"/>
        <w:jc w:val="both"/>
      </w:pPr>
      <w:r>
        <w:rPr>
          <w:sz w:val="24"/>
        </w:rPr>
        <w:t xml:space="preserve">Орган и организация вправе выдвинуть для участия в отборе не более трех одаренных детей, обучающихся по одной специальности в рамках каждой дополнительной образовательной программы в области искусств.</w:t>
      </w:r>
    </w:p>
    <w:p>
      <w:pPr>
        <w:pStyle w:val="0"/>
        <w:jc w:val="both"/>
      </w:pPr>
      <w:r>
        <w:rPr>
          <w:sz w:val="24"/>
        </w:rPr>
        <w:t xml:space="preserve">(абзац введен </w:t>
      </w:r>
      <w:hyperlink w:history="0" r:id="rId29"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Указом</w:t>
        </w:r>
      </w:hyperlink>
      <w:r>
        <w:rPr>
          <w:sz w:val="24"/>
        </w:rPr>
        <w:t xml:space="preserve"> Губернатора Иркутской области от 18.11.2025 N 369-уг)</w:t>
      </w:r>
    </w:p>
    <w:p>
      <w:pPr>
        <w:pStyle w:val="0"/>
        <w:spacing w:before="240" w:lineRule="auto"/>
        <w:ind w:firstLine="540"/>
        <w:jc w:val="both"/>
      </w:pPr>
      <w:r>
        <w:rPr>
          <w:sz w:val="24"/>
        </w:rPr>
        <w:t xml:space="preserve">5. Стипендии предоставляются ежегодно в отношении (далее - стипендиаты):</w:t>
      </w:r>
    </w:p>
    <w:p>
      <w:pPr>
        <w:pStyle w:val="0"/>
        <w:spacing w:before="240" w:lineRule="auto"/>
        <w:ind w:firstLine="540"/>
        <w:jc w:val="both"/>
      </w:pPr>
      <w:r>
        <w:rPr>
          <w:sz w:val="24"/>
        </w:rPr>
        <w:t xml:space="preserve">1) одаренных детей - 50 человек;</w:t>
      </w:r>
    </w:p>
    <w:p>
      <w:pPr>
        <w:pStyle w:val="0"/>
        <w:spacing w:before="240" w:lineRule="auto"/>
        <w:ind w:firstLine="540"/>
        <w:jc w:val="both"/>
      </w:pPr>
      <w:r>
        <w:rPr>
          <w:sz w:val="24"/>
        </w:rPr>
        <w:t xml:space="preserve">2) талантливой молодежи - 10 человек.</w:t>
      </w:r>
    </w:p>
    <w:p>
      <w:pPr>
        <w:pStyle w:val="0"/>
        <w:spacing w:before="240" w:lineRule="auto"/>
        <w:ind w:firstLine="540"/>
        <w:jc w:val="both"/>
      </w:pPr>
      <w:r>
        <w:rPr>
          <w:sz w:val="24"/>
        </w:rPr>
        <w:t xml:space="preserve">Стипендия является социальной выплатой и предоставляется в размере 50 000 рублей единовременно.</w:t>
      </w:r>
    </w:p>
    <w:p>
      <w:pPr>
        <w:pStyle w:val="0"/>
        <w:spacing w:before="240" w:lineRule="auto"/>
        <w:ind w:firstLine="540"/>
        <w:jc w:val="both"/>
      </w:pPr>
      <w:r>
        <w:rPr>
          <w:sz w:val="24"/>
        </w:rPr>
        <w:t xml:space="preserve">6. Уполномоченным исполнительным органом государственной власти Иркутской области на организацию работы по предоставлению стипендий является министерство культуры Иркутской области (далее - министерство).</w:t>
      </w:r>
    </w:p>
    <w:p>
      <w:pPr>
        <w:pStyle w:val="0"/>
        <w:spacing w:before="240" w:lineRule="auto"/>
        <w:ind w:firstLine="540"/>
        <w:jc w:val="both"/>
      </w:pPr>
      <w:r>
        <w:rPr>
          <w:sz w:val="24"/>
        </w:rPr>
        <w:t xml:space="preserve">Организация работы по предоставлению стипендий осуществляется министерством при участии Государственного образовательного бюджетного учреждения дополнительного образования Иркутская областная детская школа искусств (далее - Учреждение).</w:t>
      </w:r>
    </w:p>
    <w:p>
      <w:pPr>
        <w:pStyle w:val="0"/>
        <w:jc w:val="both"/>
      </w:pPr>
      <w:r>
        <w:rPr>
          <w:sz w:val="24"/>
        </w:rPr>
        <w:t xml:space="preserve">(в ред. </w:t>
      </w:r>
      <w:hyperlink w:history="0" r:id="rId30"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p>
      <w:pPr>
        <w:pStyle w:val="0"/>
        <w:jc w:val="both"/>
      </w:pPr>
      <w:r>
        <w:rPr>
          <w:sz w:val="24"/>
        </w:rPr>
      </w:r>
    </w:p>
    <w:p>
      <w:pPr>
        <w:pStyle w:val="2"/>
        <w:outlineLvl w:val="1"/>
        <w:jc w:val="center"/>
      </w:pPr>
      <w:r>
        <w:rPr>
          <w:sz w:val="24"/>
        </w:rPr>
        <w:t xml:space="preserve">Глава 2. ОРГАНИЗАЦИЯ ДЕЯТЕЛЬНОСТИ КОМИССИИ</w:t>
      </w:r>
    </w:p>
    <w:p>
      <w:pPr>
        <w:pStyle w:val="0"/>
        <w:jc w:val="both"/>
      </w:pPr>
      <w:r>
        <w:rPr>
          <w:sz w:val="24"/>
        </w:rPr>
      </w:r>
    </w:p>
    <w:p>
      <w:pPr>
        <w:pStyle w:val="0"/>
        <w:ind w:firstLine="540"/>
        <w:jc w:val="both"/>
      </w:pPr>
      <w:r>
        <w:rPr>
          <w:sz w:val="24"/>
        </w:rPr>
        <w:t xml:space="preserve">7. В целях контроля оценки кандидатов и формирования списка стипендиатов создается Комиссия по предоставлению стипендий (далее - Комиссия).</w:t>
      </w:r>
    </w:p>
    <w:p>
      <w:pPr>
        <w:pStyle w:val="0"/>
        <w:spacing w:before="240" w:lineRule="auto"/>
        <w:ind w:firstLine="540"/>
        <w:jc w:val="both"/>
      </w:pPr>
      <w:r>
        <w:rPr>
          <w:sz w:val="24"/>
        </w:rPr>
        <w:t xml:space="preserve">Состав Комиссии утверждается правовым актом министерства не позднее дня окончания срока представления материалов, установленного в объявлении о приеме материалов кандидатов для участия в отборе (далее - объявление).</w:t>
      </w:r>
    </w:p>
    <w:p>
      <w:pPr>
        <w:pStyle w:val="0"/>
        <w:jc w:val="both"/>
      </w:pPr>
      <w:r>
        <w:rPr>
          <w:sz w:val="24"/>
        </w:rPr>
        <w:t xml:space="preserve">(в ред. </w:t>
      </w:r>
      <w:hyperlink w:history="0" r:id="rId31" w:tooltip="Указ Губернатора Иркутской области от 01.04.2024 N 128-уг &quot;О внесении изменения в абзац второй пункта 7 Положения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01.04.2024 N 128-уг)</w:t>
      </w:r>
    </w:p>
    <w:p>
      <w:pPr>
        <w:pStyle w:val="0"/>
        <w:spacing w:before="240" w:lineRule="auto"/>
        <w:ind w:firstLine="540"/>
        <w:jc w:val="both"/>
      </w:pPr>
      <w:r>
        <w:rPr>
          <w:sz w:val="24"/>
        </w:rPr>
        <w:t xml:space="preserve">Комиссия состоит из председателя Комиссии, заместителя председателя Комиссии, секретаря Комиссии и членов Комиссии.</w:t>
      </w:r>
    </w:p>
    <w:p>
      <w:pPr>
        <w:pStyle w:val="0"/>
        <w:spacing w:before="240" w:lineRule="auto"/>
        <w:ind w:firstLine="540"/>
        <w:jc w:val="both"/>
      </w:pPr>
      <w:r>
        <w:rPr>
          <w:sz w:val="24"/>
        </w:rPr>
        <w:t xml:space="preserve">В состав Комиссии могут входить представители министерства, независимые эксперты - представители научных, образовательных и других организаций, органов государственной власти Иркутской области, органов местного самоуправления муниципальных образований Иркутской области, являющиеся специалистами в соответствующих областях культуры и искусства, заслуженные деятели в области культуры и искусства, а также представители Общественного совета при министерстве (далее - общественный совет).</w:t>
      </w:r>
    </w:p>
    <w:p>
      <w:pPr>
        <w:pStyle w:val="0"/>
        <w:spacing w:before="240" w:lineRule="auto"/>
        <w:ind w:firstLine="540"/>
        <w:jc w:val="both"/>
      </w:pPr>
      <w:r>
        <w:rPr>
          <w:sz w:val="24"/>
        </w:rPr>
        <w:t xml:space="preserve">Общее число независимых экспертов и представителей общественного совета должно составлять не менее одной четверти от общего числа лиц, входящих в состав Комиссии.</w:t>
      </w:r>
    </w:p>
    <w:p>
      <w:pPr>
        <w:pStyle w:val="0"/>
        <w:spacing w:before="240" w:lineRule="auto"/>
        <w:ind w:firstLine="540"/>
        <w:jc w:val="both"/>
      </w:pPr>
      <w:r>
        <w:rPr>
          <w:sz w:val="24"/>
        </w:rPr>
        <w:t xml:space="preserve">8. Комиссия осуществляет свою работу в форме заседаний. Заседание Комиссии проводит председатель Комиссии, в его отсутствие - заместитель председателя Комиссии.</w:t>
      </w:r>
    </w:p>
    <w:p>
      <w:pPr>
        <w:pStyle w:val="0"/>
        <w:spacing w:before="240" w:lineRule="auto"/>
        <w:ind w:firstLine="540"/>
        <w:jc w:val="both"/>
      </w:pPr>
      <w:r>
        <w:rPr>
          <w:sz w:val="24"/>
        </w:rPr>
        <w:t xml:space="preserve">Заседание Комиссии считается правомочным, если на нем присутствует не менее двух третей лиц, входящих в состав Комиссии.</w:t>
      </w:r>
    </w:p>
    <w:p>
      <w:pPr>
        <w:pStyle w:val="0"/>
        <w:spacing w:before="240" w:lineRule="auto"/>
        <w:ind w:firstLine="540"/>
        <w:jc w:val="both"/>
      </w:pPr>
      <w:r>
        <w:rPr>
          <w:sz w:val="24"/>
        </w:rPr>
        <w:t xml:space="preserve">Решения Комиссии принимаются открытым голосованием простым большинством голосов от числа присутствующих на заседании лиц, входящих в состав Комиссии. В случае равенства голосов право решающего голоса имеет председательствующий на заседании Комиссии.</w:t>
      </w:r>
    </w:p>
    <w:p>
      <w:pPr>
        <w:pStyle w:val="0"/>
        <w:spacing w:before="240" w:lineRule="auto"/>
        <w:ind w:firstLine="540"/>
        <w:jc w:val="both"/>
      </w:pPr>
      <w:r>
        <w:rPr>
          <w:sz w:val="24"/>
        </w:rPr>
        <w:t xml:space="preserve">Решения оформляются протоколами, которые подписываются председателем Комиссии, в его отсутствие - заместителем председателя Комиссии, председательствующим на заседании Комиссии, и секретарем Комиссии.</w:t>
      </w:r>
    </w:p>
    <w:p>
      <w:pPr>
        <w:pStyle w:val="0"/>
        <w:spacing w:before="240" w:lineRule="auto"/>
        <w:ind w:firstLine="540"/>
        <w:jc w:val="both"/>
      </w:pPr>
      <w:r>
        <w:rPr>
          <w:sz w:val="24"/>
        </w:rPr>
        <w:t xml:space="preserve">Решения носят рекомендательный характер.</w:t>
      </w:r>
    </w:p>
    <w:p>
      <w:pPr>
        <w:pStyle w:val="0"/>
        <w:jc w:val="both"/>
      </w:pPr>
      <w:r>
        <w:rPr>
          <w:sz w:val="24"/>
        </w:rPr>
      </w:r>
    </w:p>
    <w:p>
      <w:pPr>
        <w:pStyle w:val="2"/>
        <w:outlineLvl w:val="1"/>
        <w:jc w:val="center"/>
      </w:pPr>
      <w:r>
        <w:rPr>
          <w:sz w:val="24"/>
        </w:rPr>
        <w:t xml:space="preserve">Глава 3. ПОРЯДОК ОТБОРА КАНДИДАТОВ</w:t>
      </w:r>
    </w:p>
    <w:p>
      <w:pPr>
        <w:pStyle w:val="0"/>
        <w:jc w:val="both"/>
      </w:pPr>
      <w:r>
        <w:rPr>
          <w:sz w:val="24"/>
        </w:rPr>
      </w:r>
    </w:p>
    <w:p>
      <w:pPr>
        <w:pStyle w:val="0"/>
        <w:ind w:firstLine="540"/>
        <w:jc w:val="both"/>
      </w:pPr>
      <w:r>
        <w:rPr>
          <w:sz w:val="24"/>
        </w:rPr>
        <w:t xml:space="preserve">9. Объявление размещается на официальном сайте министерства в информационно-телекоммуникационной сети "Интернет" (далее - официальный сайт) не менее чем за 30 календарных дней до даты начала приема материалов, указанных в </w:t>
      </w:r>
      <w:hyperlink w:history="0" w:anchor="P95" w:tooltip="10. Органы и организации в срок, указанный в объявлении, представляют в Учреждение следующие материалы на каждого кандидата:">
        <w:r>
          <w:rPr>
            <w:sz w:val="24"/>
            <w:color w:val="0000ff"/>
          </w:rPr>
          <w:t xml:space="preserve">пункте 10</w:t>
        </w:r>
      </w:hyperlink>
      <w:r>
        <w:rPr>
          <w:sz w:val="24"/>
        </w:rPr>
        <w:t xml:space="preserve"> настоящего Положения (далее - материалы).</w:t>
      </w:r>
    </w:p>
    <w:p>
      <w:pPr>
        <w:pStyle w:val="0"/>
        <w:spacing w:before="240" w:lineRule="auto"/>
        <w:ind w:firstLine="540"/>
        <w:jc w:val="both"/>
      </w:pPr>
      <w:r>
        <w:rPr>
          <w:sz w:val="24"/>
        </w:rPr>
        <w:t xml:space="preserve">В объявлении указываются срок, место, перечень и порядок представления материалов, требования к их оформлению, перечень критериев оценки и порядок оценки кандидатов, размер и порядок предоставления стипендий, другие информационные материалы.</w:t>
      </w:r>
    </w:p>
    <w:bookmarkStart w:id="95" w:name="P95"/>
    <w:bookmarkEnd w:id="95"/>
    <w:p>
      <w:pPr>
        <w:pStyle w:val="0"/>
        <w:spacing w:before="240" w:lineRule="auto"/>
        <w:ind w:firstLine="540"/>
        <w:jc w:val="both"/>
      </w:pPr>
      <w:r>
        <w:rPr>
          <w:sz w:val="24"/>
        </w:rPr>
        <w:t xml:space="preserve">10. Органы и организации в срок, указанный в объявлении, представляют в Учреждение следующие материалы на каждого кандидата:</w:t>
      </w:r>
    </w:p>
    <w:p>
      <w:pPr>
        <w:pStyle w:val="0"/>
        <w:spacing w:before="240" w:lineRule="auto"/>
        <w:ind w:firstLine="540"/>
        <w:jc w:val="both"/>
      </w:pPr>
      <w:r>
        <w:rPr>
          <w:sz w:val="24"/>
        </w:rPr>
        <w:t xml:space="preserve">1) ходатайство о выдвижении кандидата, составленное в произвольной форме, с указанием даты его составления, контактной информации органа и организации (почтовый адрес, телефон, при наличии - адрес электронной почты), а также категории кандидата в соответствии с </w:t>
      </w:r>
      <w:hyperlink w:history="0" w:anchor="P58" w:tooltip="2. Кандидатами на получение стипендий вправе выступать постоянно проживающие на территории Иркутской области граждане Российской Федерации в возрасте до 21 года включительно, достигшие творческих успехов в области культуры и искусства в течение одного года, предшествующего году предоставления стипендий, и являющиеся (далее - кандидаты):">
        <w:r>
          <w:rPr>
            <w:sz w:val="24"/>
            <w:color w:val="0000ff"/>
          </w:rPr>
          <w:t xml:space="preserve">пунктом 2</w:t>
        </w:r>
      </w:hyperlink>
      <w:r>
        <w:rPr>
          <w:sz w:val="24"/>
        </w:rPr>
        <w:t xml:space="preserve"> настоящего Положения (сведений об обучении), подписанное руководителем (уполномоченным лицом) органа и организации;</w:t>
      </w:r>
    </w:p>
    <w:p>
      <w:pPr>
        <w:pStyle w:val="0"/>
        <w:spacing w:before="240" w:lineRule="auto"/>
        <w:ind w:firstLine="540"/>
        <w:jc w:val="both"/>
      </w:pPr>
      <w:r>
        <w:rPr>
          <w:sz w:val="24"/>
        </w:rPr>
        <w:t xml:space="preserve">2) </w:t>
      </w:r>
      <w:hyperlink w:history="0" w:anchor="P168" w:tooltip="АНКЕТА КАНДИДАТА">
        <w:r>
          <w:rPr>
            <w:sz w:val="24"/>
            <w:color w:val="0000ff"/>
          </w:rPr>
          <w:t xml:space="preserve">анкета</w:t>
        </w:r>
      </w:hyperlink>
      <w:r>
        <w:rPr>
          <w:sz w:val="24"/>
        </w:rPr>
        <w:t xml:space="preserve"> кандидата, составленная по форме согласно приложению 1 к настоящему Положению (далее - анкета);</w:t>
      </w:r>
    </w:p>
    <w:bookmarkStart w:id="98" w:name="P98"/>
    <w:bookmarkEnd w:id="98"/>
    <w:p>
      <w:pPr>
        <w:pStyle w:val="0"/>
        <w:spacing w:before="240" w:lineRule="auto"/>
        <w:ind w:firstLine="540"/>
        <w:jc w:val="both"/>
      </w:pPr>
      <w:r>
        <w:rPr>
          <w:sz w:val="24"/>
        </w:rPr>
        <w:t xml:space="preserve">3) свидетельство о рождении несовершеннолетнего кандидата и его нотариально удостоверенный перевод на русский язык, в случае если это свидетельство выдано компетентным органом иностранного государства, или паспорт (для кандидата, достигшего возраста 14 лет);</w:t>
      </w:r>
    </w:p>
    <w:bookmarkStart w:id="99" w:name="P99"/>
    <w:bookmarkEnd w:id="99"/>
    <w:p>
      <w:pPr>
        <w:pStyle w:val="0"/>
        <w:spacing w:before="240" w:lineRule="auto"/>
        <w:ind w:firstLine="540"/>
        <w:jc w:val="both"/>
      </w:pPr>
      <w:r>
        <w:rPr>
          <w:sz w:val="24"/>
        </w:rPr>
        <w:t xml:space="preserve">4) документы, подтверждающие регистрацию кандидата по месту жительства на территории Иркутской области (для несовершеннолетнего кандидата и кандидата, достигшего возраста 14 лет, - в случае отсутствия в паспорте отметки о регистрации по месту жительства на территории Иркутской области), или решение суда об установлении факта постоянного или преимущественного проживания на территории Иркутской области (в случае отсутствия документов, подтверждающих регистрацию по месту жительства на территории Иркутской области);</w:t>
      </w:r>
    </w:p>
    <w:bookmarkStart w:id="100" w:name="P100"/>
    <w:bookmarkEnd w:id="100"/>
    <w:p>
      <w:pPr>
        <w:pStyle w:val="0"/>
        <w:spacing w:before="240" w:lineRule="auto"/>
        <w:ind w:firstLine="540"/>
        <w:jc w:val="both"/>
      </w:pPr>
      <w:r>
        <w:rPr>
          <w:sz w:val="24"/>
        </w:rPr>
        <w:t xml:space="preserve">5) письменное согласие кандидата (законного представителя несовершеннолетнего кандидата) на обработку персональных данных кандидата, оформленное в соответствии с законодательством;</w:t>
      </w:r>
    </w:p>
    <w:bookmarkStart w:id="101" w:name="P101"/>
    <w:bookmarkEnd w:id="101"/>
    <w:p>
      <w:pPr>
        <w:pStyle w:val="0"/>
        <w:spacing w:before="240" w:lineRule="auto"/>
        <w:ind w:firstLine="540"/>
        <w:jc w:val="both"/>
      </w:pPr>
      <w:r>
        <w:rPr>
          <w:sz w:val="24"/>
        </w:rPr>
        <w:t xml:space="preserve">6) документы, подтверждающие участие кандидата в творческих мероприятиях в области культуры и искусства (дипломы, специальные дипломы, грамоты, благодарности, сертификаты, свидетельства), а в случае, если в анкете указаны проведение персональной выставки, сольного концерта, моноспектакля и (или) у кандидата отсутствуют документы, подтверждающие участие в концертной, театральной или культмассовой деятельности, - справки (подтверждения) от организаторов мероприятий с указанием даты, места и времени проведения мероприятия, полученные кандидатом в течение года, предшествующего году предоставления стипендий (в случае участия кандидата в творческих мероприятиях в области культуры и искусства);</w:t>
      </w:r>
    </w:p>
    <w:bookmarkStart w:id="102" w:name="P102"/>
    <w:bookmarkEnd w:id="102"/>
    <w:p>
      <w:pPr>
        <w:pStyle w:val="0"/>
        <w:spacing w:before="240" w:lineRule="auto"/>
        <w:ind w:firstLine="540"/>
        <w:jc w:val="both"/>
      </w:pPr>
      <w:r>
        <w:rPr>
          <w:sz w:val="24"/>
        </w:rPr>
        <w:t xml:space="preserve">7) документы, подтверждающие участие кандидата в конкурсных мероприятиях в области культуры и искусства (дипломы, специальные дипломы, грамоты, благодарности, сертификаты, свидетельства, иные документы, свидетельствующие об участии кандидата в конкурсном мероприятии), полученные кандидатом в течение года, предшествующего году предоставления стипендий (в случае участия кандидата в конкурсных мероприятиях в области культуры и искусства);</w:t>
      </w:r>
    </w:p>
    <w:p>
      <w:pPr>
        <w:pStyle w:val="0"/>
        <w:spacing w:before="240" w:lineRule="auto"/>
        <w:ind w:firstLine="540"/>
        <w:jc w:val="both"/>
      </w:pPr>
      <w:r>
        <w:rPr>
          <w:sz w:val="24"/>
        </w:rPr>
        <w:t xml:space="preserve">8) документы, свидетельствующие об уровне конкурсных мероприятий (положения о проведении конкурсных мероприятий, копия протокола (приказа) организатора (учредителя) конкурса с указанием победителя (победителей) или выписка из соответствующего протокола (приказа)), по результатам участия в которых кандидатом получены документы, указанные в </w:t>
      </w:r>
      <w:hyperlink w:history="0" w:anchor="P101" w:tooltip="6) документы, подтверждающие участие кандидата в творческих мероприятиях в области культуры и искусства (дипломы, специальные дипломы, грамоты, благодарности, сертификаты, свидетельства), а в случае, если в анкете указаны проведение персональной выставки, сольного концерта, моноспектакля и (или) у кандидата отсутствуют документы, подтверждающие участие в концертной, театральной или культмассовой деятельности, - справки (подтверждения) от организаторов мероприятий с указанием даты, места и времени проведе...">
        <w:r>
          <w:rPr>
            <w:sz w:val="24"/>
            <w:color w:val="0000ff"/>
          </w:rPr>
          <w:t xml:space="preserve">подпунктах 6</w:t>
        </w:r>
      </w:hyperlink>
      <w:r>
        <w:rPr>
          <w:sz w:val="24"/>
        </w:rPr>
        <w:t xml:space="preserve">, </w:t>
      </w:r>
      <w:hyperlink w:history="0" w:anchor="P102" w:tooltip="7) документы, подтверждающие участие кандидата в конкурсных мероприятиях в области культуры и искусства (дипломы, специальные дипломы, грамоты, благодарности, сертификаты, свидетельства, иные документы, свидетельствующие об участии кандидата в конкурсном мероприятии), полученные кандидатом в течение года, предшествующего году предоставления стипендий (в случае участия кандидата в конкурсных мероприятиях в области культуры и искусства);">
        <w:r>
          <w:rPr>
            <w:sz w:val="24"/>
            <w:color w:val="0000ff"/>
          </w:rPr>
          <w:t xml:space="preserve">7</w:t>
        </w:r>
      </w:hyperlink>
      <w:r>
        <w:rPr>
          <w:sz w:val="24"/>
        </w:rPr>
        <w:t xml:space="preserve"> настоящего пункта;</w:t>
      </w:r>
    </w:p>
    <w:bookmarkStart w:id="104" w:name="P104"/>
    <w:bookmarkEnd w:id="104"/>
    <w:p>
      <w:pPr>
        <w:pStyle w:val="0"/>
        <w:spacing w:before="240" w:lineRule="auto"/>
        <w:ind w:firstLine="540"/>
        <w:jc w:val="both"/>
      </w:pPr>
      <w:r>
        <w:rPr>
          <w:sz w:val="24"/>
        </w:rPr>
        <w:t xml:space="preserve">9) личная электронная волонтерская книжка, зарегистрированная на портале </w:t>
      </w:r>
      <w:hyperlink w:history="0" r:id="rId32">
        <w:r>
          <w:rPr>
            <w:sz w:val="24"/>
            <w:color w:val="0000ff"/>
          </w:rPr>
          <w:t xml:space="preserve">DOBRO.RU</w:t>
        </w:r>
      </w:hyperlink>
      <w:r>
        <w:rPr>
          <w:sz w:val="24"/>
        </w:rPr>
        <w:t xml:space="preserve">, подтверждающая участие в волонтерских мероприятиях и акциях (при наличии);</w:t>
      </w:r>
    </w:p>
    <w:bookmarkStart w:id="105" w:name="P105"/>
    <w:bookmarkEnd w:id="105"/>
    <w:p>
      <w:pPr>
        <w:pStyle w:val="0"/>
        <w:spacing w:before="240" w:lineRule="auto"/>
        <w:ind w:firstLine="540"/>
        <w:jc w:val="both"/>
      </w:pPr>
      <w:r>
        <w:rPr>
          <w:sz w:val="24"/>
        </w:rPr>
        <w:t xml:space="preserve">10) выписка из зачетной книжки, заверенная руководителем образовательной организации, содержащая сведения об успеваемости кандидата по итогам предыдущего учебного курса (для талантливой молодежи);</w:t>
      </w:r>
    </w:p>
    <w:p>
      <w:pPr>
        <w:pStyle w:val="0"/>
        <w:spacing w:before="240" w:lineRule="auto"/>
        <w:ind w:firstLine="540"/>
        <w:jc w:val="both"/>
      </w:pPr>
      <w:r>
        <w:rPr>
          <w:sz w:val="24"/>
        </w:rPr>
        <w:t xml:space="preserve">11) справка, выданная образовательной организацией, подтверждающая, что кандидат является председателем студенческого совета и (или) старостой курса (группы) (для талантливой молодежи) (в случае участия кандидата в студенческом самоуправлении);</w:t>
      </w:r>
    </w:p>
    <w:p>
      <w:pPr>
        <w:pStyle w:val="0"/>
        <w:spacing w:before="240" w:lineRule="auto"/>
        <w:ind w:firstLine="540"/>
        <w:jc w:val="both"/>
      </w:pPr>
      <w:r>
        <w:rPr>
          <w:sz w:val="24"/>
        </w:rPr>
        <w:t xml:space="preserve">12) </w:t>
      </w:r>
      <w:hyperlink w:history="0" w:anchor="P245" w:tooltip="ОПИСЬ МАТЕРИАЛОВ">
        <w:r>
          <w:rPr>
            <w:sz w:val="24"/>
            <w:color w:val="0000ff"/>
          </w:rPr>
          <w:t xml:space="preserve">опись</w:t>
        </w:r>
      </w:hyperlink>
      <w:r>
        <w:rPr>
          <w:sz w:val="24"/>
        </w:rPr>
        <w:t xml:space="preserve"> материалов, составленная по форме согласно приложению 2 к настоящему Положению (далее - опись).</w:t>
      </w:r>
    </w:p>
    <w:p>
      <w:pPr>
        <w:pStyle w:val="0"/>
        <w:jc w:val="both"/>
      </w:pPr>
      <w:r>
        <w:rPr>
          <w:sz w:val="24"/>
        </w:rPr>
        <w:t xml:space="preserve">(п. 10 в ред. </w:t>
      </w:r>
      <w:hyperlink w:history="0" r:id="rId33"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bookmarkStart w:id="109" w:name="P109"/>
    <w:bookmarkEnd w:id="109"/>
    <w:p>
      <w:pPr>
        <w:pStyle w:val="0"/>
        <w:spacing w:before="240" w:lineRule="auto"/>
        <w:ind w:firstLine="540"/>
        <w:jc w:val="both"/>
      </w:pPr>
      <w:r>
        <w:rPr>
          <w:sz w:val="24"/>
        </w:rPr>
        <w:t xml:space="preserve">10(1). Материалы, указанные в </w:t>
      </w:r>
      <w:hyperlink w:history="0" w:anchor="P98" w:tooltip="3) свидетельство о рождении несовершеннолетнего кандидата и его нотариально удостоверенный перевод на русский язык, в случае если это свидетельство выдано компетентным органом иностранного государства, или паспорт (для кандидата, достигшего возраста 14 лет);">
        <w:r>
          <w:rPr>
            <w:sz w:val="24"/>
            <w:color w:val="0000ff"/>
          </w:rPr>
          <w:t xml:space="preserve">подпунктах 3</w:t>
        </w:r>
      </w:hyperlink>
      <w:r>
        <w:rPr>
          <w:sz w:val="24"/>
        </w:rPr>
        <w:t xml:space="preserve">, </w:t>
      </w:r>
      <w:hyperlink w:history="0" w:anchor="P99" w:tooltip="4) документы, подтверждающие регистрацию кандидата по месту жительства на территории Иркутской области (для несовершеннолетнего кандидата и кандидата, достигшего возраста 14 лет, - в случае отсутствия в паспорте отметки о регистрации по месту жительства на территории Иркутской области), или решение суда об установлении факта постоянного или преимущественного проживания на территории Иркутской области (в случае отсутствия документов, подтверждающих регистрацию по месту жительства на территории Иркутской о...">
        <w:r>
          <w:rPr>
            <w:sz w:val="24"/>
            <w:color w:val="0000ff"/>
          </w:rPr>
          <w:t xml:space="preserve">4</w:t>
        </w:r>
      </w:hyperlink>
      <w:r>
        <w:rPr>
          <w:sz w:val="24"/>
        </w:rPr>
        <w:t xml:space="preserve">, </w:t>
      </w:r>
      <w:hyperlink w:history="0" w:anchor="P101" w:tooltip="6) документы, подтверждающие участие кандидата в творческих мероприятиях в области культуры и искусства (дипломы, специальные дипломы, грамоты, благодарности, сертификаты, свидетельства), а в случае, если в анкете указаны проведение персональной выставки, сольного концерта, моноспектакля и (или) у кандидата отсутствуют документы, подтверждающие участие в концертной, театральной или культмассовой деятельности, - справки (подтверждения) от организаторов мероприятий с указанием даты, места и времени проведе...">
        <w:r>
          <w:rPr>
            <w:sz w:val="24"/>
            <w:color w:val="0000ff"/>
          </w:rPr>
          <w:t xml:space="preserve">6</w:t>
        </w:r>
      </w:hyperlink>
      <w:r>
        <w:rPr>
          <w:sz w:val="24"/>
        </w:rPr>
        <w:t xml:space="preserve"> - </w:t>
      </w:r>
      <w:hyperlink w:history="0" w:anchor="P105" w:tooltip="10) выписка из зачетной книжки, заверенная руководителем образовательной организации, содержащая сведения об успеваемости кандидата по итогам предыдущего учебного курса (для талантливой молодежи);">
        <w:r>
          <w:rPr>
            <w:sz w:val="24"/>
            <w:color w:val="0000ff"/>
          </w:rPr>
          <w:t xml:space="preserve">10 пункта 10</w:t>
        </w:r>
      </w:hyperlink>
      <w:r>
        <w:rPr>
          <w:sz w:val="24"/>
        </w:rPr>
        <w:t xml:space="preserve"> настоящего Положения, представляются в копиях, заверенных руководителем (уполномоченным лицом) органа и организации.</w:t>
      </w:r>
    </w:p>
    <w:p>
      <w:pPr>
        <w:pStyle w:val="0"/>
        <w:spacing w:before="240" w:lineRule="auto"/>
        <w:ind w:firstLine="540"/>
        <w:jc w:val="both"/>
      </w:pPr>
      <w:r>
        <w:rPr>
          <w:sz w:val="24"/>
        </w:rPr>
        <w:t xml:space="preserve">В отношении одаренных детей органы и организации предоставляют не более трех документов, указанных в </w:t>
      </w:r>
      <w:hyperlink w:history="0" w:anchor="P102" w:tooltip="7) документы, подтверждающие участие кандидата в конкурсных мероприятиях в области культуры и искусства (дипломы, специальные дипломы, грамоты, благодарности, сертификаты, свидетельства, иные документы, свидетельствующие об участии кандидата в конкурсном мероприятии), полученные кандидатом в течение года, предшествующего году предоставления стипендий (в случае участия кандидата в конкурсных мероприятиях в области культуры и искусства);">
        <w:r>
          <w:rPr>
            <w:sz w:val="24"/>
            <w:color w:val="0000ff"/>
          </w:rPr>
          <w:t xml:space="preserve">подпункте 7 пункта 10</w:t>
        </w:r>
      </w:hyperlink>
      <w:r>
        <w:rPr>
          <w:sz w:val="24"/>
        </w:rPr>
        <w:t xml:space="preserve"> настоящего Положения, подтверждающих участие в одном конкурсном мероприятии.</w:t>
      </w:r>
    </w:p>
    <w:p>
      <w:pPr>
        <w:pStyle w:val="0"/>
        <w:jc w:val="both"/>
      </w:pPr>
      <w:r>
        <w:rPr>
          <w:sz w:val="24"/>
        </w:rPr>
        <w:t xml:space="preserve">(п. 10(1) введен </w:t>
      </w:r>
      <w:hyperlink w:history="0" r:id="rId34"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Указом</w:t>
        </w:r>
      </w:hyperlink>
      <w:r>
        <w:rPr>
          <w:sz w:val="24"/>
        </w:rPr>
        <w:t xml:space="preserve"> Губернатора Иркутской области от 18.11.2025 N 369-уг)</w:t>
      </w:r>
    </w:p>
    <w:bookmarkStart w:id="112" w:name="P112"/>
    <w:bookmarkEnd w:id="112"/>
    <w:p>
      <w:pPr>
        <w:pStyle w:val="0"/>
        <w:spacing w:before="240" w:lineRule="auto"/>
        <w:ind w:firstLine="540"/>
        <w:jc w:val="both"/>
      </w:pPr>
      <w:r>
        <w:rPr>
          <w:sz w:val="24"/>
        </w:rPr>
        <w:t xml:space="preserve">11. Органы и организации вправе представить документы, указанные в </w:t>
      </w:r>
      <w:hyperlink w:history="0" w:anchor="P98" w:tooltip="3) свидетельство о рождении несовершеннолетнего кандидата и его нотариально удостоверенный перевод на русский язык, в случае если это свидетельство выдано компетентным органом иностранного государства, или паспорт (для кандидата, достигшего возраста 14 лет);">
        <w:r>
          <w:rPr>
            <w:sz w:val="24"/>
            <w:color w:val="0000ff"/>
          </w:rPr>
          <w:t xml:space="preserve">подпунктах 3</w:t>
        </w:r>
      </w:hyperlink>
      <w:r>
        <w:rPr>
          <w:sz w:val="24"/>
        </w:rPr>
        <w:t xml:space="preserve"> (в части свидетельства о рождении, за исключением свидетельства о рождении, выданного компетентным органом иностранного государства, и его нотариально удостоверенного перевода на русский язык), </w:t>
      </w:r>
      <w:hyperlink w:history="0" w:anchor="P99" w:tooltip="4) документы, подтверждающие регистрацию кандидата по месту жительства на территории Иркутской области (для несовершеннолетнего кандидата и кандидата, достигшего возраста 14 лет, - в случае отсутствия в паспорте отметки о регистрации по месту жительства на территории Иркутской области), или решение суда об установлении факта постоянного или преимущественного проживания на территории Иркутской области (в случае отсутствия документов, подтверждающих регистрацию по месту жительства на территории Иркутской о...">
        <w:r>
          <w:rPr>
            <w:sz w:val="24"/>
            <w:color w:val="0000ff"/>
          </w:rPr>
          <w:t xml:space="preserve">4</w:t>
        </w:r>
      </w:hyperlink>
      <w:r>
        <w:rPr>
          <w:sz w:val="24"/>
        </w:rPr>
        <w:t xml:space="preserve"> (в части документов, подтверждающих регистрацию кандидата по месту жительства на территории Иркутской области) пункта 10 настоящего Положения. Если такие документы не были представлены органом и организацией, указанные документы и (или) информация запрашиваются в порядке межведомственного информационного взаимодействия в соответствии с законодательством.</w:t>
      </w:r>
    </w:p>
    <w:p>
      <w:pPr>
        <w:pStyle w:val="0"/>
        <w:jc w:val="both"/>
      </w:pPr>
      <w:r>
        <w:rPr>
          <w:sz w:val="24"/>
        </w:rPr>
        <w:t xml:space="preserve">(п. 11 в ред. </w:t>
      </w:r>
      <w:hyperlink w:history="0" r:id="rId35"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bookmarkStart w:id="114" w:name="P114"/>
    <w:bookmarkEnd w:id="114"/>
    <w:p>
      <w:pPr>
        <w:pStyle w:val="0"/>
        <w:spacing w:before="240" w:lineRule="auto"/>
        <w:ind w:firstLine="540"/>
        <w:jc w:val="both"/>
      </w:pPr>
      <w:r>
        <w:rPr>
          <w:sz w:val="24"/>
        </w:rPr>
        <w:t xml:space="preserve">12. Материалы представляются в прошитом виде, пронумерованные в порядке, установленном описью.</w:t>
      </w:r>
    </w:p>
    <w:p>
      <w:pPr>
        <w:pStyle w:val="0"/>
        <w:spacing w:before="240" w:lineRule="auto"/>
        <w:ind w:firstLine="540"/>
        <w:jc w:val="both"/>
      </w:pPr>
      <w:r>
        <w:rPr>
          <w:sz w:val="24"/>
        </w:rPr>
        <w:t xml:space="preserve">13. Материалы могут быть представлены в Учреждение одним из следующих способов:</w:t>
      </w:r>
    </w:p>
    <w:p>
      <w:pPr>
        <w:pStyle w:val="0"/>
        <w:spacing w:before="240" w:lineRule="auto"/>
        <w:ind w:firstLine="540"/>
        <w:jc w:val="both"/>
      </w:pPr>
      <w:r>
        <w:rPr>
          <w:sz w:val="24"/>
        </w:rPr>
        <w:t xml:space="preserve">1) путем личного обращения руководителя (уполномоченного лица) органа и организации;</w:t>
      </w:r>
    </w:p>
    <w:p>
      <w:pPr>
        <w:pStyle w:val="0"/>
        <w:spacing w:before="240" w:lineRule="auto"/>
        <w:ind w:firstLine="540"/>
        <w:jc w:val="both"/>
      </w:pPr>
      <w:r>
        <w:rPr>
          <w:sz w:val="24"/>
        </w:rPr>
        <w:t xml:space="preserve">2) через организации почтовой связи.</w:t>
      </w:r>
    </w:p>
    <w:bookmarkStart w:id="118" w:name="P118"/>
    <w:bookmarkEnd w:id="118"/>
    <w:p>
      <w:pPr>
        <w:pStyle w:val="0"/>
        <w:spacing w:before="240" w:lineRule="auto"/>
        <w:ind w:firstLine="540"/>
        <w:jc w:val="both"/>
      </w:pPr>
      <w:r>
        <w:rPr>
          <w:sz w:val="24"/>
        </w:rPr>
        <w:t xml:space="preserve">14. Материалы в день их поступления, в том числе через организации почтовой связи, в Учреждение регистрируются лицом, ответственным за прием материалов, в журнале регистрации документов.</w:t>
      </w:r>
    </w:p>
    <w:p>
      <w:pPr>
        <w:pStyle w:val="0"/>
        <w:jc w:val="both"/>
      </w:pPr>
      <w:r>
        <w:rPr>
          <w:sz w:val="24"/>
        </w:rPr>
        <w:t xml:space="preserve">(в ред. </w:t>
      </w:r>
      <w:hyperlink w:history="0" r:id="rId36" w:tooltip="Указ Губернатора Иркутской области от 05.11.2024 N 414-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05.11.2024 N 414-уг)</w:t>
      </w:r>
    </w:p>
    <w:p>
      <w:pPr>
        <w:pStyle w:val="0"/>
        <w:spacing w:before="240" w:lineRule="auto"/>
        <w:ind w:firstLine="540"/>
        <w:jc w:val="both"/>
      </w:pPr>
      <w:r>
        <w:rPr>
          <w:sz w:val="24"/>
        </w:rPr>
        <w:t xml:space="preserve">Днем представления материалов через организации почтовой связи считается дата отправки материалов, указанная на оттиске почтового штемпеля.</w:t>
      </w:r>
    </w:p>
    <w:p>
      <w:pPr>
        <w:pStyle w:val="0"/>
        <w:spacing w:before="240" w:lineRule="auto"/>
        <w:ind w:firstLine="540"/>
        <w:jc w:val="both"/>
      </w:pPr>
      <w:r>
        <w:rPr>
          <w:sz w:val="24"/>
        </w:rPr>
        <w:t xml:space="preserve">15. Учреждение в течение пяти рабочих дней с даты регистрации материалов в соответствии с </w:t>
      </w:r>
      <w:hyperlink w:history="0" w:anchor="P118" w:tooltip="14. Материалы в день их поступления, в том числе через организации почтовой связи, в Учреждение регистрируются лицом, ответственным за прием материалов, в журнале регистрации документов.">
        <w:r>
          <w:rPr>
            <w:sz w:val="24"/>
            <w:color w:val="0000ff"/>
          </w:rPr>
          <w:t xml:space="preserve">пунктом 14</w:t>
        </w:r>
      </w:hyperlink>
      <w:r>
        <w:rPr>
          <w:sz w:val="24"/>
        </w:rPr>
        <w:t xml:space="preserve"> настоящего Положения принимает решение о приеме или об отказе в приеме материалов.</w:t>
      </w:r>
    </w:p>
    <w:p>
      <w:pPr>
        <w:pStyle w:val="0"/>
        <w:jc w:val="both"/>
      </w:pPr>
      <w:r>
        <w:rPr>
          <w:sz w:val="24"/>
        </w:rPr>
        <w:t xml:space="preserve">(в ред. </w:t>
      </w:r>
      <w:hyperlink w:history="0" r:id="rId37" w:tooltip="Указ Губернатора Иркутской области от 05.11.2024 N 414-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05.11.2024 N 414-уг)</w:t>
      </w:r>
    </w:p>
    <w:p>
      <w:pPr>
        <w:pStyle w:val="0"/>
        <w:spacing w:before="240" w:lineRule="auto"/>
        <w:ind w:firstLine="540"/>
        <w:jc w:val="both"/>
      </w:pPr>
      <w:r>
        <w:rPr>
          <w:sz w:val="24"/>
        </w:rPr>
        <w:t xml:space="preserve">В случае принятия решения об отказе в приеме материалов Учреждение письменно уведомляет об этом орган и организацию в течение трех рабочих дней с даты принятия такого решения с указанием причин отказа.</w:t>
      </w:r>
    </w:p>
    <w:p>
      <w:pPr>
        <w:pStyle w:val="0"/>
        <w:spacing w:before="240" w:lineRule="auto"/>
        <w:ind w:firstLine="540"/>
        <w:jc w:val="both"/>
      </w:pPr>
      <w:r>
        <w:rPr>
          <w:sz w:val="24"/>
        </w:rPr>
        <w:t xml:space="preserve">16. Основаниями для отказа в приеме материалов являются:</w:t>
      </w:r>
    </w:p>
    <w:p>
      <w:pPr>
        <w:pStyle w:val="0"/>
        <w:spacing w:before="240" w:lineRule="auto"/>
        <w:ind w:firstLine="540"/>
        <w:jc w:val="both"/>
      </w:pPr>
      <w:r>
        <w:rPr>
          <w:sz w:val="24"/>
        </w:rPr>
        <w:t xml:space="preserve">1) несоответствие кандидата категории, установленной </w:t>
      </w:r>
      <w:hyperlink w:history="0" w:anchor="P58" w:tooltip="2. Кандидатами на получение стипендий вправе выступать постоянно проживающие на территории Иркутской области граждане Российской Федерации в возрасте до 21 года включительно, достигшие творческих успехов в области культуры и искусства в течение одного года, предшествующего году предоставления стипендий, и являющиеся (далее - кандидаты):">
        <w:r>
          <w:rPr>
            <w:sz w:val="24"/>
            <w:color w:val="0000ff"/>
          </w:rPr>
          <w:t xml:space="preserve">пунктом 2</w:t>
        </w:r>
      </w:hyperlink>
      <w:r>
        <w:rPr>
          <w:sz w:val="24"/>
        </w:rPr>
        <w:t xml:space="preserve"> настоящего Положения;</w:t>
      </w:r>
    </w:p>
    <w:p>
      <w:pPr>
        <w:pStyle w:val="0"/>
        <w:spacing w:before="240" w:lineRule="auto"/>
        <w:ind w:firstLine="540"/>
        <w:jc w:val="both"/>
      </w:pPr>
      <w:r>
        <w:rPr>
          <w:sz w:val="24"/>
        </w:rPr>
        <w:t xml:space="preserve">2) несоблюдение условий, указанных в </w:t>
      </w:r>
      <w:hyperlink w:history="0" w:anchor="P62" w:tooltip="3. Выдвижение кандидатов для участия в отборе для предоставления стипендий (далее - отбор) осуществляется:">
        <w:r>
          <w:rPr>
            <w:sz w:val="24"/>
            <w:color w:val="0000ff"/>
          </w:rPr>
          <w:t xml:space="preserve">пунктах 3</w:t>
        </w:r>
      </w:hyperlink>
      <w:r>
        <w:rPr>
          <w:sz w:val="24"/>
        </w:rPr>
        <w:t xml:space="preserve">, </w:t>
      </w:r>
      <w:hyperlink w:history="0" w:anchor="P65" w:tooltip="4. При выдвижении кандидатов, являющихся участниками творческих коллективов (клубных формирований) при государственных учреждениях культуры Иркутской области и муниципальных учреждениях культуры в Иркутской области (далее - творческие коллективы (клубные формирования)), орган или организация, указанная в пункте 3 настоящего Положения (далее - орган и организация), может выдвинуть для участия в отборе один творческий коллектив (клубное формирование). От творческого коллектива (клубного формирования) могут...">
        <w:r>
          <w:rPr>
            <w:sz w:val="24"/>
            <w:color w:val="0000ff"/>
          </w:rPr>
          <w:t xml:space="preserve">4</w:t>
        </w:r>
      </w:hyperlink>
      <w:r>
        <w:rPr>
          <w:sz w:val="24"/>
        </w:rPr>
        <w:t xml:space="preserve"> настоящего Положения;</w:t>
      </w:r>
    </w:p>
    <w:bookmarkStart w:id="127" w:name="P127"/>
    <w:bookmarkEnd w:id="127"/>
    <w:p>
      <w:pPr>
        <w:pStyle w:val="0"/>
        <w:spacing w:before="240" w:lineRule="auto"/>
        <w:ind w:firstLine="540"/>
        <w:jc w:val="both"/>
      </w:pPr>
      <w:r>
        <w:rPr>
          <w:sz w:val="24"/>
        </w:rPr>
        <w:t xml:space="preserve">3) представление неполного перечня материалов, за исключением материалов, которые орган и организация вправе представить в соответствии с </w:t>
      </w:r>
      <w:hyperlink w:history="0" w:anchor="P100" w:tooltip="5) письменное согласие кандидата (законного представителя несовершеннолетнего кандидата) на обработку персональных данных кандидата, оформленное в соответствии с законодательством;">
        <w:r>
          <w:rPr>
            <w:sz w:val="24"/>
            <w:color w:val="0000ff"/>
          </w:rPr>
          <w:t xml:space="preserve">подпунктами 5</w:t>
        </w:r>
      </w:hyperlink>
      <w:r>
        <w:rPr>
          <w:sz w:val="24"/>
        </w:rPr>
        <w:t xml:space="preserve">, </w:t>
      </w:r>
      <w:hyperlink w:history="0" w:anchor="P104" w:tooltip="9) личная электронная волонтерская книжка, зарегистрированная на портале DOBRO.RU, подтверждающая участие в волонтерских мероприятиях и акциях (при наличии);">
        <w:r>
          <w:rPr>
            <w:sz w:val="24"/>
            <w:color w:val="0000ff"/>
          </w:rPr>
          <w:t xml:space="preserve">9</w:t>
        </w:r>
      </w:hyperlink>
      <w:r>
        <w:rPr>
          <w:sz w:val="24"/>
        </w:rPr>
        <w:t xml:space="preserve">, </w:t>
      </w:r>
      <w:hyperlink w:history="0" w:anchor="P105" w:tooltip="10) выписка из зачетной книжки, заверенная руководителем образовательной организации, содержащая сведения об успеваемости кандидата по итогам предыдущего учебного курса (для талантливой молодежи);">
        <w:r>
          <w:rPr>
            <w:sz w:val="24"/>
            <w:color w:val="0000ff"/>
          </w:rPr>
          <w:t xml:space="preserve">10 пункта 10</w:t>
        </w:r>
      </w:hyperlink>
      <w:r>
        <w:rPr>
          <w:sz w:val="24"/>
        </w:rPr>
        <w:t xml:space="preserve">, </w:t>
      </w:r>
      <w:hyperlink w:history="0" w:anchor="P112" w:tooltip="11. Органы и организации вправе представить документы, указанные в подпунктах 3 (в части свидетельства о рождении, за исключением свидетельства о рождении, выданного компетентным органом иностранного государства, и его нотариально удостоверенного перевода на русский язык), 4 (в части документов, подтверждающих регистрацию кандидата по месту жительства на территории Иркутской области) пункта 10 настоящего Положения. Если такие документы не были представлены органом и организацией, указанные документы и (и...">
        <w:r>
          <w:rPr>
            <w:sz w:val="24"/>
            <w:color w:val="0000ff"/>
          </w:rPr>
          <w:t xml:space="preserve">пунктом 11</w:t>
        </w:r>
      </w:hyperlink>
      <w:r>
        <w:rPr>
          <w:sz w:val="24"/>
        </w:rPr>
        <w:t xml:space="preserve"> настоящего Положения, и (или) представление их с нарушением требований, установленных </w:t>
      </w:r>
      <w:hyperlink w:history="0" w:anchor="P95" w:tooltip="10. Органы и организации в срок, указанный в объявлении, представляют в Учреждение следующие материалы на каждого кандидата:">
        <w:r>
          <w:rPr>
            <w:sz w:val="24"/>
            <w:color w:val="0000ff"/>
          </w:rPr>
          <w:t xml:space="preserve">пунктами 10</w:t>
        </w:r>
      </w:hyperlink>
      <w:r>
        <w:rPr>
          <w:sz w:val="24"/>
        </w:rPr>
        <w:t xml:space="preserve">, </w:t>
      </w:r>
      <w:hyperlink w:history="0" w:anchor="P109" w:tooltip="10(1). Материалы, указанные в подпунктах 3, 4, 6 - 10 пункта 10 настоящего Положения, представляются в копиях, заверенных руководителем (уполномоченным лицом) органа и организации.">
        <w:r>
          <w:rPr>
            <w:sz w:val="24"/>
            <w:color w:val="0000ff"/>
          </w:rPr>
          <w:t xml:space="preserve">10(1)</w:t>
        </w:r>
      </w:hyperlink>
      <w:r>
        <w:rPr>
          <w:sz w:val="24"/>
        </w:rPr>
        <w:t xml:space="preserve">, </w:t>
      </w:r>
      <w:hyperlink w:history="0" w:anchor="P114" w:tooltip="12. Материалы представляются в прошитом виде, пронумерованные в порядке, установленном описью.">
        <w:r>
          <w:rPr>
            <w:sz w:val="24"/>
            <w:color w:val="0000ff"/>
          </w:rPr>
          <w:t xml:space="preserve">12</w:t>
        </w:r>
      </w:hyperlink>
      <w:r>
        <w:rPr>
          <w:sz w:val="24"/>
        </w:rPr>
        <w:t xml:space="preserve"> настоящего Положения;</w:t>
      </w:r>
    </w:p>
    <w:p>
      <w:pPr>
        <w:pStyle w:val="0"/>
        <w:jc w:val="both"/>
      </w:pPr>
      <w:r>
        <w:rPr>
          <w:sz w:val="24"/>
        </w:rPr>
        <w:t xml:space="preserve">(пп. 3 в ред. </w:t>
      </w:r>
      <w:hyperlink w:history="0" r:id="rId38"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p>
      <w:pPr>
        <w:pStyle w:val="0"/>
        <w:spacing w:before="240" w:lineRule="auto"/>
        <w:ind w:firstLine="540"/>
        <w:jc w:val="both"/>
      </w:pPr>
      <w:r>
        <w:rPr>
          <w:sz w:val="24"/>
        </w:rPr>
        <w:t xml:space="preserve">4) нарушение срока представления материалов, указанного в объявлении;</w:t>
      </w:r>
    </w:p>
    <w:p>
      <w:pPr>
        <w:pStyle w:val="0"/>
        <w:spacing w:before="240" w:lineRule="auto"/>
        <w:ind w:firstLine="540"/>
        <w:jc w:val="both"/>
      </w:pPr>
      <w:r>
        <w:rPr>
          <w:sz w:val="24"/>
        </w:rPr>
        <w:t xml:space="preserve">5) представление недостоверных сведений в материалах.</w:t>
      </w:r>
    </w:p>
    <w:p>
      <w:pPr>
        <w:pStyle w:val="0"/>
        <w:spacing w:before="240" w:lineRule="auto"/>
        <w:ind w:firstLine="540"/>
        <w:jc w:val="both"/>
      </w:pPr>
      <w:r>
        <w:rPr>
          <w:sz w:val="24"/>
        </w:rPr>
        <w:t xml:space="preserve">В случае принятия решения об отказе в приеме материалов по основанию, указанному в </w:t>
      </w:r>
      <w:hyperlink w:history="0" w:anchor="P127" w:tooltip="3) представление неполного перечня материалов, за исключением материалов, которые орган и организация вправе представить в соответствии с подпунктами 5, 9, 10 пункта 10, пунктом 11 настоящего Положения, и (или) представление их с нарушением требований, установленных пунктами 10, 10(1), 12 настоящего Положения;">
        <w:r>
          <w:rPr>
            <w:sz w:val="24"/>
            <w:color w:val="0000ff"/>
          </w:rPr>
          <w:t xml:space="preserve">подпункте 3</w:t>
        </w:r>
      </w:hyperlink>
      <w:r>
        <w:rPr>
          <w:sz w:val="24"/>
        </w:rPr>
        <w:t xml:space="preserve"> настоящего пункта, органы и организации вправе в пределах срока, указанного в объявлении, повторно представить в Учреждение материалы.</w:t>
      </w:r>
    </w:p>
    <w:p>
      <w:pPr>
        <w:pStyle w:val="0"/>
        <w:jc w:val="both"/>
      </w:pPr>
      <w:r>
        <w:rPr>
          <w:sz w:val="24"/>
        </w:rPr>
        <w:t xml:space="preserve">(в ред. </w:t>
      </w:r>
      <w:hyperlink w:history="0" r:id="rId39"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p>
      <w:pPr>
        <w:pStyle w:val="0"/>
        <w:spacing w:before="240" w:lineRule="auto"/>
        <w:ind w:firstLine="540"/>
        <w:jc w:val="both"/>
      </w:pPr>
      <w:r>
        <w:rPr>
          <w:sz w:val="24"/>
        </w:rPr>
        <w:t xml:space="preserve">17. Решение об отказе в приеме материалов может быть обжаловано в порядке, установленном законодательством.</w:t>
      </w:r>
    </w:p>
    <w:p>
      <w:pPr>
        <w:pStyle w:val="0"/>
        <w:spacing w:before="240" w:lineRule="auto"/>
        <w:ind w:firstLine="540"/>
        <w:jc w:val="both"/>
      </w:pPr>
      <w:r>
        <w:rPr>
          <w:sz w:val="24"/>
        </w:rPr>
        <w:t xml:space="preserve">18. Учреждение в течение 35 рабочих дней с даты окончания срока представления материалов рассматривает материалы, проводит оценку материалов на основании критериев оценки, указанных в </w:t>
      </w:r>
      <w:hyperlink w:history="0" w:anchor="P300" w:tooltip="КРИТЕРИИ ОЦЕНКИ">
        <w:r>
          <w:rPr>
            <w:sz w:val="24"/>
            <w:color w:val="0000ff"/>
          </w:rPr>
          <w:t xml:space="preserve">приложениях 3</w:t>
        </w:r>
      </w:hyperlink>
      <w:r>
        <w:rPr>
          <w:sz w:val="24"/>
        </w:rPr>
        <w:t xml:space="preserve">, </w:t>
      </w:r>
      <w:hyperlink w:history="0" w:anchor="P794" w:tooltip="КРИТЕРИИ ОЦЕНКИ">
        <w:r>
          <w:rPr>
            <w:sz w:val="24"/>
            <w:color w:val="0000ff"/>
          </w:rPr>
          <w:t xml:space="preserve">4</w:t>
        </w:r>
      </w:hyperlink>
      <w:r>
        <w:rPr>
          <w:sz w:val="24"/>
        </w:rPr>
        <w:t xml:space="preserve"> к настоящему Положению (далее - критерии оценки), формирует рейтинговые списки кандидатов и направляет их вместе с материалами в Комиссию.</w:t>
      </w:r>
    </w:p>
    <w:p>
      <w:pPr>
        <w:pStyle w:val="0"/>
        <w:jc w:val="both"/>
      </w:pPr>
      <w:r>
        <w:rPr>
          <w:sz w:val="24"/>
        </w:rPr>
        <w:t xml:space="preserve">(в ред. </w:t>
      </w:r>
      <w:hyperlink w:history="0" r:id="rId40" w:tooltip="Указ Губернатора Иркутской области от 05.11.2024 N 414-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05.11.2024 N 414-уг)</w:t>
      </w:r>
    </w:p>
    <w:p>
      <w:pPr>
        <w:pStyle w:val="0"/>
        <w:spacing w:before="240" w:lineRule="auto"/>
        <w:ind w:firstLine="540"/>
        <w:jc w:val="both"/>
      </w:pPr>
      <w:r>
        <w:rPr>
          <w:sz w:val="24"/>
        </w:rPr>
        <w:t xml:space="preserve">19. Комиссия в течение 30 рабочих дней с даты получения из Учреждения рейтинговых списков и материалов:</w:t>
      </w:r>
    </w:p>
    <w:p>
      <w:pPr>
        <w:pStyle w:val="0"/>
        <w:spacing w:before="240" w:lineRule="auto"/>
        <w:ind w:firstLine="540"/>
        <w:jc w:val="both"/>
      </w:pPr>
      <w:r>
        <w:rPr>
          <w:sz w:val="24"/>
        </w:rPr>
        <w:t xml:space="preserve">1) осуществляет проверку правильности оценки материалов, проведенной Учреждением, в соответствии с критериями оценки и при необходимости вносит изменения в рейтинговые списки;</w:t>
      </w:r>
    </w:p>
    <w:bookmarkStart w:id="138" w:name="P138"/>
    <w:bookmarkEnd w:id="138"/>
    <w:p>
      <w:pPr>
        <w:pStyle w:val="0"/>
        <w:spacing w:before="240" w:lineRule="auto"/>
        <w:ind w:firstLine="540"/>
        <w:jc w:val="both"/>
      </w:pPr>
      <w:r>
        <w:rPr>
          <w:sz w:val="24"/>
        </w:rPr>
        <w:t xml:space="preserve">2) формирует:</w:t>
      </w:r>
    </w:p>
    <w:p>
      <w:pPr>
        <w:pStyle w:val="0"/>
        <w:spacing w:before="240" w:lineRule="auto"/>
        <w:ind w:firstLine="540"/>
        <w:jc w:val="both"/>
      </w:pPr>
      <w:r>
        <w:rPr>
          <w:sz w:val="24"/>
        </w:rPr>
        <w:t xml:space="preserve">список стипендиатов - одаренных детей в отношении 50 человек, набравших наибольшее количество баллов;</w:t>
      </w:r>
    </w:p>
    <w:p>
      <w:pPr>
        <w:pStyle w:val="0"/>
        <w:spacing w:before="240" w:lineRule="auto"/>
        <w:ind w:firstLine="540"/>
        <w:jc w:val="both"/>
      </w:pPr>
      <w:r>
        <w:rPr>
          <w:sz w:val="24"/>
        </w:rPr>
        <w:t xml:space="preserve">список стипендиатов - талантливой молодежи в отношении 10 человек, набравших наибольшее количество баллов.</w:t>
      </w:r>
    </w:p>
    <w:p>
      <w:pPr>
        <w:pStyle w:val="0"/>
        <w:spacing w:before="240" w:lineRule="auto"/>
        <w:ind w:firstLine="540"/>
        <w:jc w:val="both"/>
      </w:pPr>
      <w:r>
        <w:rPr>
          <w:sz w:val="24"/>
        </w:rPr>
        <w:t xml:space="preserve">В случае равенства баллов у нескольких кандидатов в рейтинговом списке Комиссия рассматривает материалы таких кандидатов и определяет стипендиата путем голосования. При равенстве голосов членов Комиссии голос председательствующего на заседании Конкурсной является решающим;</w:t>
      </w:r>
    </w:p>
    <w:p>
      <w:pPr>
        <w:pStyle w:val="0"/>
        <w:spacing w:before="240" w:lineRule="auto"/>
        <w:ind w:firstLine="540"/>
        <w:jc w:val="both"/>
      </w:pPr>
      <w:r>
        <w:rPr>
          <w:sz w:val="24"/>
        </w:rPr>
        <w:t xml:space="preserve">3) направляет списки стипендиатов, указанные в </w:t>
      </w:r>
      <w:hyperlink w:history="0" w:anchor="P138" w:tooltip="2) формирует:">
        <w:r>
          <w:rPr>
            <w:sz w:val="24"/>
            <w:color w:val="0000ff"/>
          </w:rPr>
          <w:t xml:space="preserve">подпункте 2</w:t>
        </w:r>
      </w:hyperlink>
      <w:r>
        <w:rPr>
          <w:sz w:val="24"/>
        </w:rPr>
        <w:t xml:space="preserve"> настоящего пункта (далее - списки стипендиатов), в министерство.</w:t>
      </w:r>
    </w:p>
    <w:p>
      <w:pPr>
        <w:pStyle w:val="0"/>
        <w:spacing w:before="240" w:lineRule="auto"/>
        <w:ind w:firstLine="540"/>
        <w:jc w:val="both"/>
      </w:pPr>
      <w:r>
        <w:rPr>
          <w:sz w:val="24"/>
        </w:rPr>
        <w:t xml:space="preserve">20. Министерство в течение 30 календарных дней с даты поступления списков стипендиатов в соответствии с </w:t>
      </w:r>
      <w:hyperlink w:history="0" w:anchor="P138" w:tooltip="2) формирует:">
        <w:r>
          <w:rPr>
            <w:sz w:val="24"/>
            <w:color w:val="0000ff"/>
          </w:rPr>
          <w:t xml:space="preserve">подпунктом 2 пункта 19</w:t>
        </w:r>
      </w:hyperlink>
      <w:r>
        <w:rPr>
          <w:sz w:val="24"/>
        </w:rPr>
        <w:t xml:space="preserve"> настоящего Положения обеспечивает принятие распоряжения Губернатора Иркутской области о предоставлении стипендий.</w:t>
      </w:r>
    </w:p>
    <w:p>
      <w:pPr>
        <w:pStyle w:val="0"/>
        <w:jc w:val="both"/>
      </w:pPr>
      <w:r>
        <w:rPr>
          <w:sz w:val="24"/>
        </w:rPr>
        <w:t xml:space="preserve">(в ред. </w:t>
      </w:r>
      <w:hyperlink w:history="0" r:id="rId41"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p>
      <w:pPr>
        <w:pStyle w:val="0"/>
        <w:jc w:val="both"/>
      </w:pPr>
      <w:r>
        <w:rPr>
          <w:sz w:val="24"/>
        </w:rPr>
      </w:r>
    </w:p>
    <w:p>
      <w:pPr>
        <w:pStyle w:val="2"/>
        <w:outlineLvl w:val="1"/>
        <w:jc w:val="center"/>
      </w:pPr>
      <w:r>
        <w:rPr>
          <w:sz w:val="24"/>
        </w:rPr>
        <w:t xml:space="preserve">Глава 4. ПОРЯДОК ПРЕДОСТАВЛЕНИЯ СТИПЕНДИЙ И ВРУЧЕНИЯ ИМЕННЫХ</w:t>
      </w:r>
    </w:p>
    <w:p>
      <w:pPr>
        <w:pStyle w:val="2"/>
        <w:jc w:val="center"/>
      </w:pPr>
      <w:r>
        <w:rPr>
          <w:sz w:val="24"/>
        </w:rPr>
        <w:t xml:space="preserve">СВИДЕТЕЛЬСТВ ГУБЕРНАТОРА ИРКУТСКОЙ ОБЛАСТИ</w:t>
      </w:r>
    </w:p>
    <w:p>
      <w:pPr>
        <w:pStyle w:val="0"/>
        <w:jc w:val="both"/>
      </w:pPr>
      <w:r>
        <w:rPr>
          <w:sz w:val="24"/>
        </w:rPr>
      </w:r>
    </w:p>
    <w:p>
      <w:pPr>
        <w:pStyle w:val="0"/>
        <w:ind w:firstLine="540"/>
        <w:jc w:val="both"/>
      </w:pPr>
      <w:r>
        <w:rPr>
          <w:sz w:val="24"/>
        </w:rPr>
        <w:t xml:space="preserve">21. Информация о стипендиатах, удостоенных стипендии, размещается на официальном сайте в течение трех рабочих дней с даты принятия распоряжения Губернатора Иркутской области о предоставлении стипендий.</w:t>
      </w:r>
    </w:p>
    <w:p>
      <w:pPr>
        <w:pStyle w:val="0"/>
        <w:jc w:val="both"/>
      </w:pPr>
      <w:r>
        <w:rPr>
          <w:sz w:val="24"/>
        </w:rPr>
        <w:t xml:space="preserve">(в ред. </w:t>
      </w:r>
      <w:hyperlink w:history="0" r:id="rId42"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p>
      <w:pPr>
        <w:pStyle w:val="0"/>
        <w:spacing w:before="240" w:lineRule="auto"/>
        <w:ind w:firstLine="540"/>
        <w:jc w:val="both"/>
      </w:pPr>
      <w:r>
        <w:rPr>
          <w:sz w:val="24"/>
        </w:rPr>
        <w:t xml:space="preserve">22. Стипендиатам вручается именное свидетельство Губернатора Иркутской области в течение 30 календарных дней с даты принятия распоряжения Губернатора Иркутской области о предоставлении стипендий.</w:t>
      </w:r>
    </w:p>
    <w:p>
      <w:pPr>
        <w:pStyle w:val="0"/>
        <w:jc w:val="both"/>
      </w:pPr>
      <w:r>
        <w:rPr>
          <w:sz w:val="24"/>
        </w:rPr>
        <w:t xml:space="preserve">(в ред. </w:t>
      </w:r>
      <w:hyperlink w:history="0" r:id="rId43"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rPr>
        <w:t xml:space="preserve"> Губернатора Иркутской области от 18.11.2025 N 369-уг)</w:t>
      </w:r>
    </w:p>
    <w:p>
      <w:pPr>
        <w:pStyle w:val="0"/>
        <w:spacing w:before="240" w:lineRule="auto"/>
        <w:ind w:firstLine="540"/>
        <w:jc w:val="both"/>
      </w:pPr>
      <w:r>
        <w:rPr>
          <w:sz w:val="24"/>
        </w:rPr>
        <w:t xml:space="preserve">23. Выплата стипендий стипендиатам осуществляется министерством в срок до 31 декабря года предоставления стипендий путем перечисления денежных средств на лицевой счет стипендиата, открытый в кредитной организации, указанный в анкете стипендиата.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Положению о стипендиях Губернатора</w:t>
      </w:r>
    </w:p>
    <w:p>
      <w:pPr>
        <w:pStyle w:val="0"/>
        <w:jc w:val="right"/>
      </w:pPr>
      <w:r>
        <w:rPr>
          <w:sz w:val="24"/>
        </w:rPr>
        <w:t xml:space="preserve">Иркутской области для одаренных детей</w:t>
      </w:r>
    </w:p>
    <w:p>
      <w:pPr>
        <w:pStyle w:val="0"/>
        <w:jc w:val="right"/>
      </w:pPr>
      <w:r>
        <w:rPr>
          <w:sz w:val="24"/>
        </w:rPr>
        <w:t xml:space="preserve">и талантливой молодежи за достижения</w:t>
      </w:r>
    </w:p>
    <w:p>
      <w:pPr>
        <w:pStyle w:val="0"/>
        <w:jc w:val="right"/>
      </w:pPr>
      <w:r>
        <w:rPr>
          <w:sz w:val="24"/>
        </w:rPr>
        <w:t xml:space="preserve">в области культуры и искусства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44"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color w:val="392c69"/>
              </w:rPr>
              <w:t xml:space="preserve"> Губернатора Иркутской области</w:t>
            </w:r>
          </w:p>
          <w:p>
            <w:pPr>
              <w:pStyle w:val="0"/>
              <w:jc w:val="center"/>
            </w:pPr>
            <w:r>
              <w:rPr>
                <w:sz w:val="24"/>
                <w:color w:val="392c69"/>
              </w:rPr>
              <w:t xml:space="preserve">от 18.11.2025 N 369-уг)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68" w:name="P168"/>
    <w:bookmarkEnd w:id="168"/>
    <w:p>
      <w:pPr>
        <w:pStyle w:val="0"/>
        <w:jc w:val="center"/>
      </w:pPr>
      <w:r>
        <w:rPr>
          <w:sz w:val="24"/>
        </w:rPr>
        <w:t xml:space="preserve">АНКЕТА КАНДИДАТА</w:t>
      </w:r>
    </w:p>
    <w:p>
      <w:pPr>
        <w:pStyle w:val="0"/>
        <w:jc w:val="center"/>
      </w:pPr>
      <w:r>
        <w:rPr>
          <w:sz w:val="24"/>
        </w:rPr>
        <w:t xml:space="preserve">НА ПОЛУЧЕНИЕ СТИПЕНДИИ ГУБЕРНАТОРА ИРКУТСКОЙ ОБЛАСТИ</w:t>
      </w:r>
    </w:p>
    <w:p>
      <w:pPr>
        <w:pStyle w:val="0"/>
        <w:jc w:val="center"/>
      </w:pPr>
      <w:r>
        <w:rPr>
          <w:sz w:val="24"/>
        </w:rPr>
        <w:t xml:space="preserve">ДЛЯ ОДАРЕННЫХ ДЕТЕЙ И ТАЛАНТЛИВОЙ МОЛОДЕЖИ ЗА ДОСТИЖЕНИЯ</w:t>
      </w:r>
    </w:p>
    <w:p>
      <w:pPr>
        <w:pStyle w:val="0"/>
        <w:jc w:val="center"/>
      </w:pPr>
      <w:r>
        <w:rPr>
          <w:sz w:val="24"/>
        </w:rPr>
        <w:t xml:space="preserve">В ОБЛАСТИ КУЛЬТУРЫ И ИСКУССТВА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6"/>
        <w:gridCol w:w="2835"/>
      </w:tblGrid>
      <w:tr>
        <w:tc>
          <w:tcPr>
            <w:tcW w:w="6236" w:type="dxa"/>
          </w:tcPr>
          <w:p>
            <w:pPr>
              <w:pStyle w:val="0"/>
              <w:jc w:val="both"/>
            </w:pPr>
            <w:r>
              <w:rPr>
                <w:sz w:val="24"/>
              </w:rPr>
              <w:t xml:space="preserve">Ф.И.О. кандидата на получение стипендии Губернатора Иркутской области для одаренных детей и талантливой молодежи за достижения в области культуры и искусства (далее соответственно - кандидат, стипендии Губернатора Иркутской области)</w:t>
            </w:r>
          </w:p>
        </w:tc>
        <w:tc>
          <w:tcPr>
            <w:tcW w:w="2835" w:type="dxa"/>
          </w:tcPr>
          <w:p>
            <w:pPr>
              <w:pStyle w:val="0"/>
            </w:pPr>
            <w:r>
              <w:rPr>
                <w:sz w:val="24"/>
              </w:rPr>
            </w:r>
          </w:p>
        </w:tc>
      </w:tr>
      <w:tr>
        <w:tc>
          <w:tcPr>
            <w:tcW w:w="6236" w:type="dxa"/>
          </w:tcPr>
          <w:p>
            <w:pPr>
              <w:pStyle w:val="0"/>
              <w:jc w:val="both"/>
            </w:pPr>
            <w:r>
              <w:rPr>
                <w:sz w:val="24"/>
              </w:rPr>
              <w:t xml:space="preserve">Возраст (полных лет)</w:t>
            </w:r>
          </w:p>
        </w:tc>
        <w:tc>
          <w:tcPr>
            <w:tcW w:w="2835" w:type="dxa"/>
          </w:tcPr>
          <w:p>
            <w:pPr>
              <w:pStyle w:val="0"/>
            </w:pPr>
            <w:r>
              <w:rPr>
                <w:sz w:val="24"/>
              </w:rPr>
            </w:r>
          </w:p>
        </w:tc>
      </w:tr>
      <w:tr>
        <w:tc>
          <w:tcPr>
            <w:tcW w:w="6236" w:type="dxa"/>
          </w:tcPr>
          <w:p>
            <w:pPr>
              <w:pStyle w:val="0"/>
              <w:jc w:val="both"/>
            </w:pPr>
            <w:r>
              <w:rPr>
                <w:sz w:val="24"/>
              </w:rPr>
              <w:t xml:space="preserve">Дата и место рождения</w:t>
            </w:r>
          </w:p>
        </w:tc>
        <w:tc>
          <w:tcPr>
            <w:tcW w:w="2835" w:type="dxa"/>
          </w:tcPr>
          <w:p>
            <w:pPr>
              <w:pStyle w:val="0"/>
            </w:pPr>
            <w:r>
              <w:rPr>
                <w:sz w:val="24"/>
              </w:rPr>
            </w:r>
          </w:p>
        </w:tc>
      </w:tr>
      <w:tr>
        <w:tc>
          <w:tcPr>
            <w:tcW w:w="6236" w:type="dxa"/>
          </w:tcPr>
          <w:p>
            <w:pPr>
              <w:pStyle w:val="0"/>
              <w:jc w:val="both"/>
            </w:pPr>
            <w:r>
              <w:rPr>
                <w:sz w:val="24"/>
              </w:rPr>
              <w:t xml:space="preserve">Адрес места жительства кандидата (индекс, муниципальное образование, улица, дом, квартира)</w:t>
            </w:r>
          </w:p>
        </w:tc>
        <w:tc>
          <w:tcPr>
            <w:tcW w:w="2835" w:type="dxa"/>
          </w:tcPr>
          <w:p>
            <w:pPr>
              <w:pStyle w:val="0"/>
            </w:pPr>
            <w:r>
              <w:rPr>
                <w:sz w:val="24"/>
              </w:rPr>
            </w:r>
          </w:p>
        </w:tc>
      </w:tr>
      <w:tr>
        <w:tc>
          <w:tcPr>
            <w:tcW w:w="6236" w:type="dxa"/>
          </w:tcPr>
          <w:p>
            <w:pPr>
              <w:pStyle w:val="0"/>
              <w:jc w:val="both"/>
            </w:pPr>
            <w:r>
              <w:rPr>
                <w:sz w:val="24"/>
              </w:rPr>
              <w:t xml:space="preserve">Контактный телефон, адрес электронной почты кандидата</w:t>
            </w:r>
          </w:p>
        </w:tc>
        <w:tc>
          <w:tcPr>
            <w:tcW w:w="2835" w:type="dxa"/>
          </w:tcPr>
          <w:p>
            <w:pPr>
              <w:pStyle w:val="0"/>
            </w:pPr>
            <w:r>
              <w:rPr>
                <w:sz w:val="24"/>
              </w:rPr>
            </w:r>
          </w:p>
        </w:tc>
      </w:tr>
      <w:tr>
        <w:tc>
          <w:tcPr>
            <w:tcW w:w="6236" w:type="dxa"/>
          </w:tcPr>
          <w:p>
            <w:pPr>
              <w:pStyle w:val="0"/>
              <w:jc w:val="both"/>
            </w:pPr>
            <w:r>
              <w:rPr>
                <w:sz w:val="24"/>
              </w:rPr>
              <w:t xml:space="preserve">Ф.И.О., контактный телефон, адрес электронной почты родителей (законных представителей) кандидата</w:t>
            </w:r>
          </w:p>
        </w:tc>
        <w:tc>
          <w:tcPr>
            <w:tcW w:w="2835" w:type="dxa"/>
          </w:tcPr>
          <w:p>
            <w:pPr>
              <w:pStyle w:val="0"/>
            </w:pPr>
            <w:r>
              <w:rPr>
                <w:sz w:val="24"/>
              </w:rPr>
            </w:r>
          </w:p>
        </w:tc>
      </w:tr>
      <w:tr>
        <w:tc>
          <w:tcPr>
            <w:tcW w:w="6236" w:type="dxa"/>
          </w:tcPr>
          <w:p>
            <w:pPr>
              <w:pStyle w:val="0"/>
              <w:jc w:val="both"/>
            </w:pPr>
            <w:r>
              <w:rPr>
                <w:sz w:val="24"/>
              </w:rPr>
              <w:t xml:space="preserve">Наименование государственной организации дополнительного образования Иркутской области, государственной нетиповой общеобразовательной организации Иркутской области, реализующей образовательные программы в области искусств, государственного учреждения культуры Иркутской области, государственной профессиональной образовательной организации Иркутской области, федеральной государственной образовательной организации высшего образования, реализующей образовательные программы в области искусств на территории Иркутской области, выдвигающей кандидата, или органа местного самоуправления муниципального образования Иркутской области, выдвигающего кандидата (далее - органы и организации)</w:t>
            </w:r>
          </w:p>
        </w:tc>
        <w:tc>
          <w:tcPr>
            <w:tcW w:w="2835" w:type="dxa"/>
          </w:tcPr>
          <w:p>
            <w:pPr>
              <w:pStyle w:val="0"/>
            </w:pPr>
            <w:r>
              <w:rPr>
                <w:sz w:val="24"/>
              </w:rPr>
            </w:r>
          </w:p>
        </w:tc>
      </w:tr>
      <w:tr>
        <w:tc>
          <w:tcPr>
            <w:tcW w:w="6236" w:type="dxa"/>
          </w:tcPr>
          <w:p>
            <w:pPr>
              <w:pStyle w:val="0"/>
              <w:jc w:val="both"/>
            </w:pPr>
            <w:r>
              <w:rPr>
                <w:sz w:val="24"/>
              </w:rPr>
              <w:t xml:space="preserve">Местонахождение органа и организации</w:t>
            </w:r>
          </w:p>
        </w:tc>
        <w:tc>
          <w:tcPr>
            <w:tcW w:w="2835" w:type="dxa"/>
          </w:tcPr>
          <w:p>
            <w:pPr>
              <w:pStyle w:val="0"/>
            </w:pPr>
            <w:r>
              <w:rPr>
                <w:sz w:val="24"/>
              </w:rPr>
            </w:r>
          </w:p>
        </w:tc>
      </w:tr>
      <w:tr>
        <w:tc>
          <w:tcPr>
            <w:tcW w:w="6236" w:type="dxa"/>
          </w:tcPr>
          <w:p>
            <w:pPr>
              <w:pStyle w:val="0"/>
              <w:jc w:val="both"/>
            </w:pPr>
            <w:r>
              <w:rPr>
                <w:sz w:val="24"/>
              </w:rPr>
              <w:t xml:space="preserve">Ф.И.О. руководителя органа и организации, контактный телефон, адрес электронной почты</w:t>
            </w:r>
          </w:p>
        </w:tc>
        <w:tc>
          <w:tcPr>
            <w:tcW w:w="2835" w:type="dxa"/>
          </w:tcPr>
          <w:p>
            <w:pPr>
              <w:pStyle w:val="0"/>
            </w:pPr>
            <w:r>
              <w:rPr>
                <w:sz w:val="24"/>
              </w:rPr>
            </w:r>
          </w:p>
        </w:tc>
      </w:tr>
      <w:tr>
        <w:tc>
          <w:tcPr>
            <w:tcW w:w="6236" w:type="dxa"/>
          </w:tcPr>
          <w:p>
            <w:pPr>
              <w:pStyle w:val="0"/>
              <w:jc w:val="both"/>
            </w:pPr>
            <w:r>
              <w:rPr>
                <w:sz w:val="24"/>
              </w:rPr>
              <w:t xml:space="preserve">Ф.И.О. преподавателя органа и организации (руководителя творческого коллектива (клубного формирования)), подготовившего кандидата</w:t>
            </w:r>
          </w:p>
        </w:tc>
        <w:tc>
          <w:tcPr>
            <w:tcW w:w="2835" w:type="dxa"/>
          </w:tcPr>
          <w:p>
            <w:pPr>
              <w:pStyle w:val="0"/>
            </w:pPr>
            <w:r>
              <w:rPr>
                <w:sz w:val="24"/>
              </w:rPr>
            </w:r>
          </w:p>
        </w:tc>
      </w:tr>
      <w:tr>
        <w:tc>
          <w:tcPr>
            <w:tcW w:w="6236" w:type="dxa"/>
          </w:tcPr>
          <w:p>
            <w:pPr>
              <w:pStyle w:val="0"/>
              <w:jc w:val="both"/>
            </w:pPr>
            <w:r>
              <w:rPr>
                <w:sz w:val="24"/>
              </w:rPr>
              <w:t xml:space="preserve">Наименование специальности и дополнительной образовательной программы</w:t>
            </w:r>
          </w:p>
        </w:tc>
        <w:tc>
          <w:tcPr>
            <w:tcW w:w="2835" w:type="dxa"/>
          </w:tcPr>
          <w:p>
            <w:pPr>
              <w:pStyle w:val="0"/>
            </w:pPr>
            <w:r>
              <w:rPr>
                <w:sz w:val="24"/>
              </w:rPr>
            </w:r>
          </w:p>
        </w:tc>
      </w:tr>
      <w:tr>
        <w:tc>
          <w:tcPr>
            <w:tcW w:w="6236" w:type="dxa"/>
          </w:tcPr>
          <w:p>
            <w:pPr>
              <w:pStyle w:val="0"/>
              <w:jc w:val="both"/>
            </w:pPr>
            <w:r>
              <w:rPr>
                <w:sz w:val="24"/>
              </w:rPr>
              <w:t xml:space="preserve">Наименование творческих коллективов (клубных формирований), членом которых является кандидат (в случае представления материалов в отношении кандидатов, являющихся участниками творческих коллективов (клубных формирований))</w:t>
            </w:r>
          </w:p>
        </w:tc>
        <w:tc>
          <w:tcPr>
            <w:tcW w:w="2835" w:type="dxa"/>
          </w:tcPr>
          <w:p>
            <w:pPr>
              <w:pStyle w:val="0"/>
            </w:pPr>
            <w:r>
              <w:rPr>
                <w:sz w:val="24"/>
              </w:rPr>
            </w:r>
          </w:p>
        </w:tc>
      </w:tr>
      <w:tr>
        <w:tc>
          <w:tcPr>
            <w:tcW w:w="6236" w:type="dxa"/>
          </w:tcPr>
          <w:p>
            <w:pPr>
              <w:pStyle w:val="0"/>
              <w:jc w:val="both"/>
            </w:pPr>
            <w:r>
              <w:rPr>
                <w:sz w:val="24"/>
              </w:rPr>
              <w:t xml:space="preserve">Сведения о банковском счете, открытом на имя кандидата:</w:t>
            </w:r>
          </w:p>
          <w:p>
            <w:pPr>
              <w:pStyle w:val="0"/>
              <w:jc w:val="both"/>
            </w:pPr>
            <w:r>
              <w:rPr>
                <w:sz w:val="24"/>
              </w:rPr>
              <w:t xml:space="preserve">Номер банковского счета, адрес банка (отделения)</w:t>
            </w:r>
          </w:p>
          <w:p>
            <w:pPr>
              <w:pStyle w:val="0"/>
              <w:jc w:val="both"/>
            </w:pPr>
            <w:r>
              <w:rPr>
                <w:sz w:val="24"/>
              </w:rPr>
              <w:t xml:space="preserve">БИК</w:t>
            </w:r>
          </w:p>
          <w:p>
            <w:pPr>
              <w:pStyle w:val="0"/>
              <w:jc w:val="both"/>
            </w:pPr>
            <w:r>
              <w:rPr>
                <w:sz w:val="24"/>
              </w:rPr>
              <w:t xml:space="preserve">ИНН</w:t>
            </w:r>
          </w:p>
          <w:p>
            <w:pPr>
              <w:pStyle w:val="0"/>
              <w:jc w:val="both"/>
            </w:pPr>
            <w:r>
              <w:rPr>
                <w:sz w:val="24"/>
              </w:rPr>
              <w:t xml:space="preserve">КПП</w:t>
            </w:r>
          </w:p>
          <w:p>
            <w:pPr>
              <w:pStyle w:val="0"/>
              <w:jc w:val="both"/>
            </w:pPr>
            <w:r>
              <w:rPr>
                <w:sz w:val="24"/>
              </w:rPr>
              <w:t xml:space="preserve">Расчетный счет банка/корреспондентский счет</w:t>
            </w:r>
          </w:p>
        </w:tc>
        <w:tc>
          <w:tcPr>
            <w:tcW w:w="2835" w:type="dxa"/>
          </w:tcPr>
          <w:p>
            <w:pPr>
              <w:pStyle w:val="0"/>
            </w:pPr>
            <w:r>
              <w:rPr>
                <w:sz w:val="24"/>
              </w:rPr>
            </w:r>
          </w:p>
        </w:tc>
      </w:tr>
    </w:tbl>
    <w:p>
      <w:pPr>
        <w:pStyle w:val="0"/>
        <w:jc w:val="both"/>
      </w:pPr>
      <w:r>
        <w:rPr>
          <w:sz w:val="24"/>
        </w:rPr>
      </w:r>
    </w:p>
    <w:p>
      <w:pPr>
        <w:pStyle w:val="0"/>
        <w:ind w:firstLine="540"/>
        <w:jc w:val="both"/>
      </w:pPr>
      <w:r>
        <w:rPr>
          <w:sz w:val="24"/>
        </w:rPr>
        <w:t xml:space="preserve">Информация об участии кандидата в творческих и конкурсных мероприятиях в области культуры и искусства в течение одного года, предшествующего году предоставления стипендий Губернатора Иркутской области (данная информация, а также ссылки на видеозапись сольного концерта и (или) моноспектакля дополнительно направляются в электронной форме на адрес электронной почты konkurs.mk.irk@mail.ru):</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984"/>
        <w:gridCol w:w="1984"/>
        <w:gridCol w:w="2382"/>
        <w:gridCol w:w="2381"/>
        <w:gridCol w:w="2324"/>
      </w:tblGrid>
      <w:tr>
        <w:tc>
          <w:tcPr>
            <w:tcW w:w="2551" w:type="dxa"/>
          </w:tcPr>
          <w:p>
            <w:pPr>
              <w:pStyle w:val="0"/>
              <w:jc w:val="center"/>
            </w:pPr>
            <w:r>
              <w:rPr>
                <w:sz w:val="24"/>
              </w:rPr>
              <w:t xml:space="preserve">Наименование творческого, конкурсного мероприятия в соответствии с положением о проведении данного мероприятия (список формируется в порядке, установленном критериями оценки кандидата). В случае участия кандидата в сольном концерте и (или) моноспектакле, указывается ссылка на полную видеозапись такого концерта или спектакля без признаков монтажа</w:t>
            </w:r>
          </w:p>
        </w:tc>
        <w:tc>
          <w:tcPr>
            <w:tcW w:w="1984" w:type="dxa"/>
          </w:tcPr>
          <w:p>
            <w:pPr>
              <w:pStyle w:val="0"/>
              <w:jc w:val="center"/>
            </w:pPr>
            <w:r>
              <w:rPr>
                <w:sz w:val="24"/>
              </w:rPr>
              <w:t xml:space="preserve">Организаторы конкурсного мероприятия (полное наименование согласно положению о проведении конкурса)</w:t>
            </w:r>
          </w:p>
        </w:tc>
        <w:tc>
          <w:tcPr>
            <w:tcW w:w="1984" w:type="dxa"/>
          </w:tcPr>
          <w:p>
            <w:pPr>
              <w:pStyle w:val="0"/>
              <w:jc w:val="center"/>
            </w:pPr>
            <w:r>
              <w:rPr>
                <w:sz w:val="24"/>
              </w:rPr>
              <w:t xml:space="preserve">Место проведения конкурсного мероприятия (страна, регион, город)</w:t>
            </w:r>
          </w:p>
        </w:tc>
        <w:tc>
          <w:tcPr>
            <w:tcW w:w="2382" w:type="dxa"/>
          </w:tcPr>
          <w:p>
            <w:pPr>
              <w:pStyle w:val="0"/>
              <w:jc w:val="center"/>
            </w:pPr>
            <w:r>
              <w:rPr>
                <w:sz w:val="24"/>
              </w:rPr>
              <w:t xml:space="preserve">Статус кандидата согласно документу, подтверждающему достижение кандидата (лауреат, дипломант, стипендиат, участник)</w:t>
            </w:r>
          </w:p>
        </w:tc>
        <w:tc>
          <w:tcPr>
            <w:tcW w:w="2381" w:type="dxa"/>
          </w:tcPr>
          <w:p>
            <w:pPr>
              <w:pStyle w:val="0"/>
              <w:jc w:val="center"/>
            </w:pPr>
            <w:r>
              <w:rPr>
                <w:sz w:val="24"/>
              </w:rPr>
              <w:t xml:space="preserve">Участие очное/заочное (интернет-конкурс)</w:t>
            </w:r>
          </w:p>
        </w:tc>
        <w:tc>
          <w:tcPr>
            <w:tcW w:w="2324" w:type="dxa"/>
          </w:tcPr>
          <w:p>
            <w:pPr>
              <w:pStyle w:val="0"/>
              <w:jc w:val="center"/>
            </w:pPr>
            <w:r>
              <w:rPr>
                <w:sz w:val="24"/>
              </w:rPr>
              <w:t xml:space="preserve">Участие индивидуальное/в составе коллектива</w:t>
            </w:r>
          </w:p>
        </w:tc>
      </w:tr>
      <w:tr>
        <w:tc>
          <w:tcPr>
            <w:tcW w:w="2551" w:type="dxa"/>
          </w:tcPr>
          <w:p>
            <w:pPr>
              <w:pStyle w:val="0"/>
            </w:pPr>
            <w:r>
              <w:rPr>
                <w:sz w:val="24"/>
              </w:rPr>
            </w:r>
          </w:p>
        </w:tc>
        <w:tc>
          <w:tcPr>
            <w:tcW w:w="1984" w:type="dxa"/>
          </w:tcPr>
          <w:p>
            <w:pPr>
              <w:pStyle w:val="0"/>
            </w:pPr>
            <w:r>
              <w:rPr>
                <w:sz w:val="24"/>
              </w:rPr>
            </w:r>
          </w:p>
        </w:tc>
        <w:tc>
          <w:tcPr>
            <w:tcW w:w="1984" w:type="dxa"/>
          </w:tcPr>
          <w:p>
            <w:pPr>
              <w:pStyle w:val="0"/>
            </w:pPr>
            <w:r>
              <w:rPr>
                <w:sz w:val="24"/>
              </w:rPr>
            </w:r>
          </w:p>
        </w:tc>
        <w:tc>
          <w:tcPr>
            <w:tcW w:w="2382" w:type="dxa"/>
          </w:tcPr>
          <w:p>
            <w:pPr>
              <w:pStyle w:val="0"/>
            </w:pPr>
            <w:r>
              <w:rPr>
                <w:sz w:val="24"/>
              </w:rPr>
            </w:r>
          </w:p>
        </w:tc>
        <w:tc>
          <w:tcPr>
            <w:tcW w:w="2381" w:type="dxa"/>
          </w:tcPr>
          <w:p>
            <w:pPr>
              <w:pStyle w:val="0"/>
            </w:pPr>
            <w:r>
              <w:rPr>
                <w:sz w:val="24"/>
              </w:rPr>
            </w:r>
          </w:p>
        </w:tc>
        <w:tc>
          <w:tcPr>
            <w:tcW w:w="2324" w:type="dxa"/>
          </w:tcPr>
          <w:p>
            <w:pPr>
              <w:pStyle w:val="0"/>
            </w:pPr>
            <w:r>
              <w:rPr>
                <w:sz w:val="24"/>
              </w:rPr>
            </w:r>
          </w:p>
        </w:tc>
      </w:tr>
      <w:tr>
        <w:tc>
          <w:tcPr>
            <w:tcW w:w="2551" w:type="dxa"/>
          </w:tcPr>
          <w:p>
            <w:pPr>
              <w:pStyle w:val="0"/>
            </w:pPr>
            <w:r>
              <w:rPr>
                <w:sz w:val="24"/>
              </w:rPr>
            </w:r>
          </w:p>
        </w:tc>
        <w:tc>
          <w:tcPr>
            <w:tcW w:w="1984" w:type="dxa"/>
          </w:tcPr>
          <w:p>
            <w:pPr>
              <w:pStyle w:val="0"/>
            </w:pPr>
            <w:r>
              <w:rPr>
                <w:sz w:val="24"/>
              </w:rPr>
            </w:r>
          </w:p>
        </w:tc>
        <w:tc>
          <w:tcPr>
            <w:tcW w:w="1984" w:type="dxa"/>
          </w:tcPr>
          <w:p>
            <w:pPr>
              <w:pStyle w:val="0"/>
            </w:pPr>
            <w:r>
              <w:rPr>
                <w:sz w:val="24"/>
              </w:rPr>
            </w:r>
          </w:p>
        </w:tc>
        <w:tc>
          <w:tcPr>
            <w:tcW w:w="2382" w:type="dxa"/>
          </w:tcPr>
          <w:p>
            <w:pPr>
              <w:pStyle w:val="0"/>
            </w:pPr>
            <w:r>
              <w:rPr>
                <w:sz w:val="24"/>
              </w:rPr>
            </w:r>
          </w:p>
        </w:tc>
        <w:tc>
          <w:tcPr>
            <w:tcW w:w="2381" w:type="dxa"/>
          </w:tcPr>
          <w:p>
            <w:pPr>
              <w:pStyle w:val="0"/>
            </w:pPr>
            <w:r>
              <w:rPr>
                <w:sz w:val="24"/>
              </w:rPr>
            </w:r>
          </w:p>
        </w:tc>
        <w:tc>
          <w:tcPr>
            <w:tcW w:w="2324" w:type="dxa"/>
          </w:tcPr>
          <w:p>
            <w:pPr>
              <w:pStyle w:val="0"/>
            </w:pPr>
            <w:r>
              <w:rPr>
                <w:sz w:val="24"/>
              </w:rPr>
            </w:r>
          </w:p>
        </w:tc>
      </w:tr>
    </w:tbl>
    <w:p>
      <w:pPr>
        <w:sectPr>
          <w:headerReference w:type="default" r:id="rId45"/>
          <w:headerReference w:type="first" r:id="rId45"/>
          <w:footerReference w:type="default" r:id="rId46"/>
          <w:footerReference w:type="first" r:id="rId46"/>
          <w:pgSz w:w="16838" w:h="11906" w:orient="landscape"/>
          <w:pgMar w:top="1133" w:right="1440" w:bottom="566" w:left="1440" w:header="0" w:footer="0" w:gutter="0"/>
          <w:titlePg/>
        </w:sectPr>
      </w:pPr>
    </w:p>
    <w:p>
      <w:pPr>
        <w:pStyle w:val="0"/>
        <w:jc w:val="both"/>
      </w:pPr>
      <w:r>
        <w:rPr>
          <w:sz w:val="24"/>
        </w:rPr>
      </w:r>
    </w:p>
    <w:tbl>
      <w:tblPr>
        <w:tblInd w:w="0" w:type="dxa"/>
        <w:tblLayout w:type="fixed"/>
        <w:tblCellMar>
          <w:top w:w="102" w:type="dxa"/>
          <w:left w:w="62" w:type="dxa"/>
          <w:bottom w:w="102" w:type="dxa"/>
          <w:right w:w="62" w:type="dxa"/>
        </w:tblCellMar>
      </w:tblPr>
      <w:tblGrid>
        <w:gridCol w:w="2891"/>
        <w:gridCol w:w="340"/>
        <w:gridCol w:w="5839"/>
      </w:tblGrid>
      <w:tr>
        <w:tc>
          <w:tcPr>
            <w:tcW w:w="2891" w:type="dxa"/>
            <w:tcBorders>
              <w:top w:val="nil"/>
              <w:left w:val="nil"/>
              <w:bottom w:val="nil"/>
              <w:right w:val="nil"/>
            </w:tcBorders>
          </w:tcPr>
          <w:p>
            <w:pPr>
              <w:pStyle w:val="0"/>
              <w:jc w:val="center"/>
            </w:pPr>
            <w:r>
              <w:rPr>
                <w:sz w:val="24"/>
              </w:rPr>
              <w:t xml:space="preserve">_______________________</w:t>
            </w:r>
          </w:p>
          <w:p>
            <w:pPr>
              <w:pStyle w:val="0"/>
              <w:jc w:val="center"/>
            </w:pPr>
            <w:r>
              <w:rPr>
                <w:sz w:val="24"/>
              </w:rPr>
              <w:t xml:space="preserve">(дата)</w:t>
            </w:r>
          </w:p>
        </w:tc>
        <w:tc>
          <w:tcPr>
            <w:tcW w:w="340" w:type="dxa"/>
            <w:tcBorders>
              <w:top w:val="nil"/>
              <w:left w:val="nil"/>
              <w:bottom w:val="nil"/>
              <w:right w:val="nil"/>
            </w:tcBorders>
          </w:tcPr>
          <w:p>
            <w:pPr>
              <w:pStyle w:val="0"/>
            </w:pPr>
            <w:r>
              <w:rPr>
                <w:sz w:val="24"/>
              </w:rPr>
            </w:r>
          </w:p>
        </w:tc>
        <w:tc>
          <w:tcPr>
            <w:tcW w:w="5839" w:type="dxa"/>
            <w:tcBorders>
              <w:top w:val="nil"/>
              <w:left w:val="nil"/>
              <w:bottom w:val="nil"/>
              <w:right w:val="nil"/>
            </w:tcBorders>
          </w:tcPr>
          <w:p>
            <w:pPr>
              <w:pStyle w:val="0"/>
              <w:jc w:val="both"/>
            </w:pPr>
            <w:r>
              <w:rPr>
                <w:sz w:val="24"/>
              </w:rPr>
              <w:t xml:space="preserve">/________/______________________________________/</w:t>
            </w:r>
          </w:p>
          <w:p>
            <w:pPr>
              <w:pStyle w:val="0"/>
              <w:jc w:val="both"/>
            </w:pPr>
            <w:r>
              <w:rPr>
                <w:sz w:val="24"/>
              </w:rPr>
              <w:t xml:space="preserve">(подпись) (Ф.И.О. руководителя органа и организации)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Положению о стипендиях Губернатора</w:t>
      </w:r>
    </w:p>
    <w:p>
      <w:pPr>
        <w:pStyle w:val="0"/>
        <w:jc w:val="right"/>
      </w:pPr>
      <w:r>
        <w:rPr>
          <w:sz w:val="24"/>
        </w:rPr>
        <w:t xml:space="preserve">Иркутской области для одаренных детей</w:t>
      </w:r>
    </w:p>
    <w:p>
      <w:pPr>
        <w:pStyle w:val="0"/>
        <w:jc w:val="right"/>
      </w:pPr>
      <w:r>
        <w:rPr>
          <w:sz w:val="24"/>
        </w:rPr>
        <w:t xml:space="preserve">и талантливой молодежи за достижения</w:t>
      </w:r>
    </w:p>
    <w:p>
      <w:pPr>
        <w:pStyle w:val="0"/>
        <w:jc w:val="right"/>
      </w:pPr>
      <w:r>
        <w:rPr>
          <w:sz w:val="24"/>
        </w:rPr>
        <w:t xml:space="preserve">в области культуры и искусства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47"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color w:val="392c69"/>
              </w:rPr>
              <w:t xml:space="preserve"> Губернатора Иркутской области</w:t>
            </w:r>
          </w:p>
          <w:p>
            <w:pPr>
              <w:pStyle w:val="0"/>
              <w:jc w:val="center"/>
            </w:pPr>
            <w:r>
              <w:rPr>
                <w:sz w:val="24"/>
                <w:color w:val="392c69"/>
              </w:rPr>
              <w:t xml:space="preserve">от 18.11.2025 N 369-уг)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245" w:name="P245"/>
    <w:bookmarkEnd w:id="245"/>
    <w:p>
      <w:pPr>
        <w:pStyle w:val="0"/>
        <w:jc w:val="center"/>
      </w:pPr>
      <w:r>
        <w:rPr>
          <w:sz w:val="24"/>
        </w:rPr>
        <w:t xml:space="preserve">ОПИСЬ МАТЕРИАЛОВ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7087"/>
        <w:gridCol w:w="1417"/>
      </w:tblGrid>
      <w:tr>
        <w:tc>
          <w:tcPr>
            <w:tcW w:w="567" w:type="dxa"/>
          </w:tcPr>
          <w:p>
            <w:pPr>
              <w:pStyle w:val="0"/>
              <w:jc w:val="center"/>
            </w:pPr>
            <w:r>
              <w:rPr>
                <w:sz w:val="24"/>
              </w:rPr>
              <w:t xml:space="preserve">N п/п</w:t>
            </w:r>
          </w:p>
        </w:tc>
        <w:tc>
          <w:tcPr>
            <w:tcW w:w="7087" w:type="dxa"/>
          </w:tcPr>
          <w:p>
            <w:pPr>
              <w:pStyle w:val="0"/>
              <w:jc w:val="center"/>
            </w:pPr>
            <w:r>
              <w:rPr>
                <w:sz w:val="24"/>
              </w:rPr>
              <w:t xml:space="preserve">Наименование документа</w:t>
            </w:r>
          </w:p>
        </w:tc>
        <w:tc>
          <w:tcPr>
            <w:tcW w:w="1417" w:type="dxa"/>
          </w:tcPr>
          <w:p>
            <w:pPr>
              <w:pStyle w:val="0"/>
              <w:jc w:val="center"/>
            </w:pPr>
            <w:r>
              <w:rPr>
                <w:sz w:val="24"/>
              </w:rPr>
              <w:t xml:space="preserve">Количество страниц (ед.)</w:t>
            </w:r>
          </w:p>
        </w:tc>
      </w:tr>
      <w:tr>
        <w:tc>
          <w:tcPr>
            <w:tcW w:w="567" w:type="dxa"/>
          </w:tcPr>
          <w:p>
            <w:pPr>
              <w:pStyle w:val="0"/>
              <w:jc w:val="center"/>
            </w:pPr>
            <w:r>
              <w:rPr>
                <w:sz w:val="24"/>
              </w:rPr>
              <w:t xml:space="preserve">1.</w:t>
            </w:r>
          </w:p>
        </w:tc>
        <w:tc>
          <w:tcPr>
            <w:tcW w:w="7087" w:type="dxa"/>
          </w:tcPr>
          <w:p>
            <w:pPr>
              <w:pStyle w:val="0"/>
            </w:pPr>
            <w:r>
              <w:rPr>
                <w:sz w:val="24"/>
              </w:rPr>
              <w:t xml:space="preserve">Ходатайство о выдвижении кандидата на получение стипендии Губернатора Иркутской области для одаренных детей и талантливой молодежи за достижения в области культуры и искусства (далее - кандидат)</w:t>
            </w:r>
          </w:p>
        </w:tc>
        <w:tc>
          <w:tcPr>
            <w:tcW w:w="1417" w:type="dxa"/>
          </w:tcPr>
          <w:p>
            <w:pPr>
              <w:pStyle w:val="0"/>
            </w:pPr>
            <w:r>
              <w:rPr>
                <w:sz w:val="24"/>
              </w:rPr>
            </w:r>
          </w:p>
        </w:tc>
      </w:tr>
      <w:tr>
        <w:tc>
          <w:tcPr>
            <w:tcW w:w="567" w:type="dxa"/>
          </w:tcPr>
          <w:p>
            <w:pPr>
              <w:pStyle w:val="0"/>
              <w:jc w:val="center"/>
            </w:pPr>
            <w:r>
              <w:rPr>
                <w:sz w:val="24"/>
              </w:rPr>
              <w:t xml:space="preserve">2.</w:t>
            </w:r>
          </w:p>
        </w:tc>
        <w:tc>
          <w:tcPr>
            <w:tcW w:w="7087" w:type="dxa"/>
          </w:tcPr>
          <w:p>
            <w:pPr>
              <w:pStyle w:val="0"/>
            </w:pPr>
            <w:r>
              <w:rPr>
                <w:sz w:val="24"/>
              </w:rPr>
              <w:t xml:space="preserve">Анкета кандидата</w:t>
            </w:r>
          </w:p>
        </w:tc>
        <w:tc>
          <w:tcPr>
            <w:tcW w:w="1417" w:type="dxa"/>
          </w:tcPr>
          <w:p>
            <w:pPr>
              <w:pStyle w:val="0"/>
            </w:pPr>
            <w:r>
              <w:rPr>
                <w:sz w:val="24"/>
              </w:rPr>
            </w:r>
          </w:p>
        </w:tc>
      </w:tr>
      <w:tr>
        <w:tc>
          <w:tcPr>
            <w:tcW w:w="567" w:type="dxa"/>
          </w:tcPr>
          <w:p>
            <w:pPr>
              <w:pStyle w:val="0"/>
              <w:jc w:val="center"/>
            </w:pPr>
            <w:r>
              <w:rPr>
                <w:sz w:val="24"/>
              </w:rPr>
              <w:t xml:space="preserve">3.</w:t>
            </w:r>
          </w:p>
        </w:tc>
        <w:tc>
          <w:tcPr>
            <w:tcW w:w="7087" w:type="dxa"/>
          </w:tcPr>
          <w:p>
            <w:pPr>
              <w:pStyle w:val="0"/>
            </w:pPr>
            <w:r>
              <w:rPr>
                <w:sz w:val="24"/>
              </w:rPr>
              <w:t xml:space="preserve">Копия паспорта (свидетельства о рождении) кандидата</w:t>
            </w:r>
          </w:p>
        </w:tc>
        <w:tc>
          <w:tcPr>
            <w:tcW w:w="1417" w:type="dxa"/>
          </w:tcPr>
          <w:p>
            <w:pPr>
              <w:pStyle w:val="0"/>
            </w:pPr>
            <w:r>
              <w:rPr>
                <w:sz w:val="24"/>
              </w:rPr>
            </w:r>
          </w:p>
        </w:tc>
      </w:tr>
      <w:tr>
        <w:tc>
          <w:tcPr>
            <w:tcW w:w="567" w:type="dxa"/>
          </w:tcPr>
          <w:p>
            <w:pPr>
              <w:pStyle w:val="0"/>
              <w:jc w:val="center"/>
            </w:pPr>
            <w:r>
              <w:rPr>
                <w:sz w:val="24"/>
              </w:rPr>
              <w:t xml:space="preserve">4.</w:t>
            </w:r>
          </w:p>
        </w:tc>
        <w:tc>
          <w:tcPr>
            <w:tcW w:w="7087" w:type="dxa"/>
          </w:tcPr>
          <w:p>
            <w:pPr>
              <w:pStyle w:val="0"/>
            </w:pPr>
            <w:r>
              <w:rPr>
                <w:sz w:val="24"/>
              </w:rPr>
              <w:t xml:space="preserve">Копия документа, подтверждающего регистрацию кандидата по месту жительства на территории Иркутской области (для несовершеннолетнего кандидата и кандидата, достигшего возраста 14 лет, - в случае отсутствия в паспорте отметки о регистрации по месту жительства на территории Иркутской области) или решение суда об установлении факта постоянного или преимущественного проживания на территории Иркутской области (в случае отсутствия документов, подтверждающих регистрацию по месту жительства на территории Иркутской области)</w:t>
            </w:r>
          </w:p>
        </w:tc>
        <w:tc>
          <w:tcPr>
            <w:tcW w:w="1417" w:type="dxa"/>
          </w:tcPr>
          <w:p>
            <w:pPr>
              <w:pStyle w:val="0"/>
            </w:pPr>
            <w:r>
              <w:rPr>
                <w:sz w:val="24"/>
              </w:rPr>
            </w:r>
          </w:p>
        </w:tc>
      </w:tr>
      <w:tr>
        <w:tc>
          <w:tcPr>
            <w:tcW w:w="567" w:type="dxa"/>
          </w:tcPr>
          <w:p>
            <w:pPr>
              <w:pStyle w:val="0"/>
              <w:jc w:val="center"/>
            </w:pPr>
            <w:r>
              <w:rPr>
                <w:sz w:val="24"/>
              </w:rPr>
              <w:t xml:space="preserve">5.</w:t>
            </w:r>
          </w:p>
        </w:tc>
        <w:tc>
          <w:tcPr>
            <w:tcW w:w="7087" w:type="dxa"/>
          </w:tcPr>
          <w:p>
            <w:pPr>
              <w:pStyle w:val="0"/>
            </w:pPr>
            <w:r>
              <w:rPr>
                <w:sz w:val="24"/>
              </w:rPr>
              <w:t xml:space="preserve">Согласие кандидата (законного представителя несовершеннолетнего кандидата) на обработку персональных данных кандидата</w:t>
            </w:r>
          </w:p>
        </w:tc>
        <w:tc>
          <w:tcPr>
            <w:tcW w:w="1417" w:type="dxa"/>
          </w:tcPr>
          <w:p>
            <w:pPr>
              <w:pStyle w:val="0"/>
            </w:pPr>
            <w:r>
              <w:rPr>
                <w:sz w:val="24"/>
              </w:rPr>
            </w:r>
          </w:p>
        </w:tc>
      </w:tr>
      <w:tr>
        <w:tc>
          <w:tcPr>
            <w:tcW w:w="567" w:type="dxa"/>
          </w:tcPr>
          <w:p>
            <w:pPr>
              <w:pStyle w:val="0"/>
              <w:jc w:val="center"/>
            </w:pPr>
            <w:r>
              <w:rPr>
                <w:sz w:val="24"/>
              </w:rPr>
              <w:t xml:space="preserve">6.</w:t>
            </w:r>
          </w:p>
        </w:tc>
        <w:tc>
          <w:tcPr>
            <w:tcW w:w="7087" w:type="dxa"/>
          </w:tcPr>
          <w:p>
            <w:pPr>
              <w:pStyle w:val="0"/>
            </w:pPr>
            <w:r>
              <w:rPr>
                <w:sz w:val="24"/>
              </w:rPr>
              <w:t xml:space="preserve">Копии документов, подтверждающих участие кандидата в творческих мероприятиях</w:t>
            </w:r>
          </w:p>
        </w:tc>
        <w:tc>
          <w:tcPr>
            <w:tcW w:w="1417" w:type="dxa"/>
          </w:tcPr>
          <w:p>
            <w:pPr>
              <w:pStyle w:val="0"/>
            </w:pPr>
            <w:r>
              <w:rPr>
                <w:sz w:val="24"/>
              </w:rPr>
            </w:r>
          </w:p>
        </w:tc>
      </w:tr>
      <w:tr>
        <w:tc>
          <w:tcPr>
            <w:tcW w:w="567" w:type="dxa"/>
          </w:tcPr>
          <w:p>
            <w:pPr>
              <w:pStyle w:val="0"/>
              <w:jc w:val="center"/>
            </w:pPr>
            <w:r>
              <w:rPr>
                <w:sz w:val="24"/>
              </w:rPr>
              <w:t xml:space="preserve">7.</w:t>
            </w:r>
          </w:p>
        </w:tc>
        <w:tc>
          <w:tcPr>
            <w:tcW w:w="7087" w:type="dxa"/>
          </w:tcPr>
          <w:p>
            <w:pPr>
              <w:pStyle w:val="0"/>
            </w:pPr>
            <w:r>
              <w:rPr>
                <w:sz w:val="24"/>
              </w:rPr>
              <w:t xml:space="preserve">Копии документов, подтверждающих участие кандидата в конкурсных мероприятиях</w:t>
            </w:r>
          </w:p>
        </w:tc>
        <w:tc>
          <w:tcPr>
            <w:tcW w:w="1417" w:type="dxa"/>
          </w:tcPr>
          <w:p>
            <w:pPr>
              <w:pStyle w:val="0"/>
            </w:pPr>
            <w:r>
              <w:rPr>
                <w:sz w:val="24"/>
              </w:rPr>
            </w:r>
          </w:p>
        </w:tc>
      </w:tr>
      <w:tr>
        <w:tc>
          <w:tcPr>
            <w:tcW w:w="567" w:type="dxa"/>
          </w:tcPr>
          <w:p>
            <w:pPr>
              <w:pStyle w:val="0"/>
              <w:jc w:val="center"/>
            </w:pPr>
            <w:r>
              <w:rPr>
                <w:sz w:val="24"/>
              </w:rPr>
              <w:t xml:space="preserve">8.</w:t>
            </w:r>
          </w:p>
        </w:tc>
        <w:tc>
          <w:tcPr>
            <w:tcW w:w="7087" w:type="dxa"/>
          </w:tcPr>
          <w:p>
            <w:pPr>
              <w:pStyle w:val="0"/>
            </w:pPr>
            <w:r>
              <w:rPr>
                <w:sz w:val="24"/>
              </w:rPr>
              <w:t xml:space="preserve">Копии документов, свидетельствующих об уровне конкурсных мероприятий</w:t>
            </w:r>
          </w:p>
        </w:tc>
        <w:tc>
          <w:tcPr>
            <w:tcW w:w="1417" w:type="dxa"/>
          </w:tcPr>
          <w:p>
            <w:pPr>
              <w:pStyle w:val="0"/>
            </w:pPr>
            <w:r>
              <w:rPr>
                <w:sz w:val="24"/>
              </w:rPr>
            </w:r>
          </w:p>
        </w:tc>
      </w:tr>
      <w:tr>
        <w:tc>
          <w:tcPr>
            <w:tcW w:w="567" w:type="dxa"/>
          </w:tcPr>
          <w:p>
            <w:pPr>
              <w:pStyle w:val="0"/>
              <w:jc w:val="center"/>
            </w:pPr>
            <w:r>
              <w:rPr>
                <w:sz w:val="24"/>
              </w:rPr>
              <w:t xml:space="preserve">9.</w:t>
            </w:r>
          </w:p>
        </w:tc>
        <w:tc>
          <w:tcPr>
            <w:tcW w:w="7087" w:type="dxa"/>
          </w:tcPr>
          <w:p>
            <w:pPr>
              <w:pStyle w:val="0"/>
            </w:pPr>
            <w:r>
              <w:rPr>
                <w:sz w:val="24"/>
              </w:rPr>
              <w:t xml:space="preserve">Копия личной электронной волонтерской книжки</w:t>
            </w:r>
          </w:p>
        </w:tc>
        <w:tc>
          <w:tcPr>
            <w:tcW w:w="1417" w:type="dxa"/>
          </w:tcPr>
          <w:p>
            <w:pPr>
              <w:pStyle w:val="0"/>
            </w:pPr>
            <w:r>
              <w:rPr>
                <w:sz w:val="24"/>
              </w:rPr>
            </w:r>
          </w:p>
        </w:tc>
      </w:tr>
      <w:tr>
        <w:tc>
          <w:tcPr>
            <w:tcW w:w="567" w:type="dxa"/>
          </w:tcPr>
          <w:p>
            <w:pPr>
              <w:pStyle w:val="0"/>
              <w:jc w:val="center"/>
            </w:pPr>
            <w:r>
              <w:rPr>
                <w:sz w:val="24"/>
              </w:rPr>
              <w:t xml:space="preserve">10.</w:t>
            </w:r>
          </w:p>
        </w:tc>
        <w:tc>
          <w:tcPr>
            <w:tcW w:w="7087" w:type="dxa"/>
          </w:tcPr>
          <w:p>
            <w:pPr>
              <w:pStyle w:val="0"/>
            </w:pPr>
            <w:r>
              <w:rPr>
                <w:sz w:val="24"/>
              </w:rPr>
              <w:t xml:space="preserve">Копия выписки из зачетной книжки (для талантливой молодежи)</w:t>
            </w:r>
          </w:p>
        </w:tc>
        <w:tc>
          <w:tcPr>
            <w:tcW w:w="1417" w:type="dxa"/>
          </w:tcPr>
          <w:p>
            <w:pPr>
              <w:pStyle w:val="0"/>
            </w:pPr>
            <w:r>
              <w:rPr>
                <w:sz w:val="24"/>
              </w:rPr>
            </w:r>
          </w:p>
        </w:tc>
      </w:tr>
      <w:tr>
        <w:tc>
          <w:tcPr>
            <w:tcW w:w="567" w:type="dxa"/>
          </w:tcPr>
          <w:p>
            <w:pPr>
              <w:pStyle w:val="0"/>
              <w:jc w:val="center"/>
            </w:pPr>
            <w:r>
              <w:rPr>
                <w:sz w:val="24"/>
              </w:rPr>
              <w:t xml:space="preserve">11.</w:t>
            </w:r>
          </w:p>
        </w:tc>
        <w:tc>
          <w:tcPr>
            <w:tcW w:w="7087" w:type="dxa"/>
          </w:tcPr>
          <w:p>
            <w:pPr>
              <w:pStyle w:val="0"/>
            </w:pPr>
            <w:r>
              <w:rPr>
                <w:sz w:val="24"/>
              </w:rPr>
              <w:t xml:space="preserve">Справка, подтверждающая, что кандидат является председателем студенческого совета и (или) старостой курса (группы) (для талантливой молодежи)</w:t>
            </w:r>
          </w:p>
        </w:tc>
        <w:tc>
          <w:tcPr>
            <w:tcW w:w="1417"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2891"/>
        <w:gridCol w:w="340"/>
        <w:gridCol w:w="5839"/>
      </w:tblGrid>
      <w:tr>
        <w:tc>
          <w:tcPr>
            <w:tcW w:w="2891" w:type="dxa"/>
            <w:tcBorders>
              <w:top w:val="nil"/>
              <w:left w:val="nil"/>
              <w:bottom w:val="nil"/>
              <w:right w:val="nil"/>
            </w:tcBorders>
          </w:tcPr>
          <w:p>
            <w:pPr>
              <w:pStyle w:val="0"/>
              <w:jc w:val="center"/>
            </w:pPr>
            <w:r>
              <w:rPr>
                <w:sz w:val="24"/>
              </w:rPr>
              <w:t xml:space="preserve">_______________________</w:t>
            </w:r>
          </w:p>
          <w:p>
            <w:pPr>
              <w:pStyle w:val="0"/>
              <w:jc w:val="center"/>
            </w:pPr>
            <w:r>
              <w:rPr>
                <w:sz w:val="24"/>
              </w:rPr>
              <w:t xml:space="preserve">(дата)</w:t>
            </w:r>
          </w:p>
        </w:tc>
        <w:tc>
          <w:tcPr>
            <w:tcW w:w="340" w:type="dxa"/>
            <w:tcBorders>
              <w:top w:val="nil"/>
              <w:left w:val="nil"/>
              <w:bottom w:val="nil"/>
              <w:right w:val="nil"/>
            </w:tcBorders>
          </w:tcPr>
          <w:p>
            <w:pPr>
              <w:pStyle w:val="0"/>
            </w:pPr>
            <w:r>
              <w:rPr>
                <w:sz w:val="24"/>
              </w:rPr>
            </w:r>
          </w:p>
        </w:tc>
        <w:tc>
          <w:tcPr>
            <w:tcW w:w="5839" w:type="dxa"/>
            <w:tcBorders>
              <w:top w:val="nil"/>
              <w:left w:val="nil"/>
              <w:bottom w:val="nil"/>
              <w:right w:val="nil"/>
            </w:tcBorders>
          </w:tcPr>
          <w:p>
            <w:pPr>
              <w:pStyle w:val="0"/>
              <w:jc w:val="both"/>
            </w:pPr>
            <w:r>
              <w:rPr>
                <w:sz w:val="24"/>
              </w:rPr>
              <w:t xml:space="preserve">/________/______________________________________/</w:t>
            </w:r>
          </w:p>
          <w:p>
            <w:pPr>
              <w:pStyle w:val="0"/>
              <w:jc w:val="both"/>
            </w:pPr>
            <w:r>
              <w:rPr>
                <w:sz w:val="24"/>
              </w:rPr>
              <w:t xml:space="preserve">(подпись) (Ф.И.О. руководителя организации)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Положению о стипендиях Губернатора</w:t>
      </w:r>
    </w:p>
    <w:p>
      <w:pPr>
        <w:pStyle w:val="0"/>
        <w:jc w:val="right"/>
      </w:pPr>
      <w:r>
        <w:rPr>
          <w:sz w:val="24"/>
        </w:rPr>
        <w:t xml:space="preserve">Иркутской области для одаренных детей</w:t>
      </w:r>
    </w:p>
    <w:p>
      <w:pPr>
        <w:pStyle w:val="0"/>
        <w:jc w:val="right"/>
      </w:pPr>
      <w:r>
        <w:rPr>
          <w:sz w:val="24"/>
        </w:rPr>
        <w:t xml:space="preserve">и талантливой молодежи за достижения</w:t>
      </w:r>
    </w:p>
    <w:p>
      <w:pPr>
        <w:pStyle w:val="0"/>
        <w:jc w:val="right"/>
      </w:pPr>
      <w:r>
        <w:rPr>
          <w:sz w:val="24"/>
        </w:rPr>
        <w:t xml:space="preserve">в области культуры и искусства</w:t>
      </w:r>
    </w:p>
    <w:p>
      <w:pPr>
        <w:pStyle w:val="0"/>
        <w:jc w:val="both"/>
      </w:pPr>
      <w:r>
        <w:rPr>
          <w:sz w:val="24"/>
        </w:rPr>
      </w:r>
    </w:p>
    <w:bookmarkStart w:id="300" w:name="P300"/>
    <w:bookmarkEnd w:id="300"/>
    <w:p>
      <w:pPr>
        <w:pStyle w:val="2"/>
        <w:jc w:val="center"/>
      </w:pPr>
      <w:r>
        <w:rPr>
          <w:sz w:val="24"/>
        </w:rPr>
        <w:t xml:space="preserve">КРИТЕРИИ ОЦЕНКИ</w:t>
      </w:r>
    </w:p>
    <w:p>
      <w:pPr>
        <w:pStyle w:val="2"/>
        <w:jc w:val="center"/>
      </w:pPr>
      <w:r>
        <w:rPr>
          <w:sz w:val="24"/>
        </w:rPr>
        <w:t xml:space="preserve">ОДАРЕННЫХ ДЕТЕЙ ДЛЯ ПОЛУЧЕНИЯ СТИПЕНДИЙ ГУБЕРНАТОРА</w:t>
      </w:r>
    </w:p>
    <w:p>
      <w:pPr>
        <w:pStyle w:val="2"/>
        <w:jc w:val="center"/>
      </w:pPr>
      <w:r>
        <w:rPr>
          <w:sz w:val="24"/>
        </w:rPr>
        <w:t xml:space="preserve">ИРКУТСКОЙ ОБЛАСТИ ДЛЯ ОДАРЕННЫХ ДЕТЕЙ И ТАЛАНТЛИВОЙ МОЛОДЕЖИ</w:t>
      </w:r>
    </w:p>
    <w:p>
      <w:pPr>
        <w:pStyle w:val="2"/>
        <w:jc w:val="center"/>
      </w:pPr>
      <w:r>
        <w:rPr>
          <w:sz w:val="24"/>
        </w:rPr>
        <w:t xml:space="preserve">ЗА ДОСТИЖЕНИЯ В ОБЛАСТИ КУЛЬТУРЫ И ИСКУССТВА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48"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color w:val="392c69"/>
              </w:rPr>
              <w:t xml:space="preserve"> Губернатора Иркутской области</w:t>
            </w:r>
          </w:p>
          <w:p>
            <w:pPr>
              <w:pStyle w:val="0"/>
              <w:jc w:val="center"/>
            </w:pPr>
            <w:r>
              <w:rPr>
                <w:sz w:val="24"/>
                <w:color w:val="392c69"/>
              </w:rPr>
              <w:t xml:space="preserve">от 18.11.2025 N 369-уг)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3409"/>
        <w:gridCol w:w="2404"/>
        <w:gridCol w:w="1999"/>
        <w:gridCol w:w="1579"/>
        <w:gridCol w:w="1339"/>
      </w:tblGrid>
      <w:tr>
        <w:tc>
          <w:tcPr>
            <w:tcW w:w="454" w:type="dxa"/>
          </w:tcPr>
          <w:p>
            <w:pPr>
              <w:pStyle w:val="0"/>
              <w:jc w:val="center"/>
            </w:pPr>
            <w:r>
              <w:rPr>
                <w:sz w:val="24"/>
              </w:rPr>
              <w:t xml:space="preserve">N п/п</w:t>
            </w:r>
          </w:p>
        </w:tc>
        <w:tc>
          <w:tcPr>
            <w:tcW w:w="3409" w:type="dxa"/>
          </w:tcPr>
          <w:p>
            <w:pPr>
              <w:pStyle w:val="0"/>
              <w:jc w:val="center"/>
            </w:pPr>
            <w:r>
              <w:rPr>
                <w:sz w:val="24"/>
              </w:rPr>
              <w:t xml:space="preserve">Уровень конкурса, мероприятия, заслуг</w:t>
            </w:r>
          </w:p>
        </w:tc>
        <w:tc>
          <w:tcPr>
            <w:tcW w:w="2404" w:type="dxa"/>
          </w:tcPr>
          <w:p>
            <w:pPr>
              <w:pStyle w:val="0"/>
              <w:jc w:val="center"/>
            </w:pPr>
            <w:r>
              <w:rPr>
                <w:sz w:val="24"/>
              </w:rPr>
              <w:t xml:space="preserve">Достижения</w:t>
            </w:r>
          </w:p>
        </w:tc>
        <w:tc>
          <w:tcPr>
            <w:tcW w:w="1999" w:type="dxa"/>
          </w:tcPr>
          <w:p>
            <w:pPr>
              <w:pStyle w:val="0"/>
              <w:jc w:val="center"/>
            </w:pPr>
            <w:r>
              <w:rPr>
                <w:sz w:val="24"/>
              </w:rPr>
              <w:t xml:space="preserve">Участие индивидуальное/в составе творческого коллектива (клубного формирования) (далее - коллектив)</w:t>
            </w:r>
          </w:p>
        </w:tc>
        <w:tc>
          <w:tcPr>
            <w:tcW w:w="1579" w:type="dxa"/>
          </w:tcPr>
          <w:p>
            <w:pPr>
              <w:pStyle w:val="0"/>
              <w:jc w:val="center"/>
            </w:pPr>
            <w:r>
              <w:rPr>
                <w:sz w:val="24"/>
              </w:rPr>
              <w:t xml:space="preserve">Участие очное/заочное</w:t>
            </w:r>
          </w:p>
        </w:tc>
        <w:tc>
          <w:tcPr>
            <w:tcW w:w="1339" w:type="dxa"/>
          </w:tcPr>
          <w:p>
            <w:pPr>
              <w:pStyle w:val="0"/>
              <w:jc w:val="center"/>
            </w:pPr>
            <w:r>
              <w:rPr>
                <w:sz w:val="24"/>
              </w:rPr>
              <w:t xml:space="preserve">Количество баллов</w:t>
            </w:r>
          </w:p>
        </w:tc>
      </w:tr>
      <w:tr>
        <w:tc>
          <w:tcPr>
            <w:tcW w:w="454" w:type="dxa"/>
            <w:vMerge w:val="restart"/>
          </w:tcPr>
          <w:p>
            <w:pPr>
              <w:pStyle w:val="0"/>
              <w:jc w:val="both"/>
            </w:pPr>
            <w:r>
              <w:rPr>
                <w:sz w:val="24"/>
              </w:rPr>
              <w:t xml:space="preserve">1.</w:t>
            </w:r>
          </w:p>
        </w:tc>
        <w:tc>
          <w:tcPr>
            <w:tcW w:w="3409" w:type="dxa"/>
            <w:vMerge w:val="restart"/>
          </w:tcPr>
          <w:p>
            <w:pPr>
              <w:pStyle w:val="0"/>
            </w:pPr>
            <w:r>
              <w:rPr>
                <w:sz w:val="24"/>
              </w:rPr>
              <w:t xml:space="preserve">Международные конкурсные мероприятия, проводимые Министерством культуры Российской Федерации (далее -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150</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500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125</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125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125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tcW w:w="454" w:type="dxa"/>
            <w:vMerge w:val="restart"/>
          </w:tcPr>
          <w:p>
            <w:pPr>
              <w:pStyle w:val="0"/>
              <w:jc w:val="both"/>
            </w:pPr>
            <w:r>
              <w:rPr>
                <w:sz w:val="24"/>
              </w:rPr>
              <w:t xml:space="preserve">2.</w:t>
            </w:r>
          </w:p>
        </w:tc>
        <w:tc>
          <w:tcPr>
            <w:tcW w:w="3409" w:type="dxa"/>
            <w:vMerge w:val="restart"/>
          </w:tcPr>
          <w:p>
            <w:pPr>
              <w:pStyle w:val="0"/>
            </w:pPr>
            <w:r>
              <w:rPr>
                <w:sz w:val="24"/>
              </w:rPr>
              <w:t xml:space="preserve">Международные конкурсные мероприятия, проводимые органами государственной власти субъектов Российской Федерации в области культуры (далее - органы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75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37</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130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65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65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33</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110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23</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90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45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23</w:t>
            </w:r>
          </w:p>
        </w:tc>
      </w:tr>
      <w:tr>
        <w:tc>
          <w:tcPr>
            <w:tcW w:w="454" w:type="dxa"/>
            <w:vMerge w:val="restart"/>
          </w:tcPr>
          <w:p>
            <w:pPr>
              <w:pStyle w:val="0"/>
              <w:jc w:val="both"/>
            </w:pPr>
            <w:r>
              <w:rPr>
                <w:sz w:val="24"/>
              </w:rPr>
              <w:t xml:space="preserve">3.</w:t>
            </w:r>
          </w:p>
        </w:tc>
        <w:tc>
          <w:tcPr>
            <w:tcW w:w="3409" w:type="dxa"/>
            <w:vMerge w:val="restart"/>
          </w:tcPr>
          <w:p>
            <w:pPr>
              <w:pStyle w:val="0"/>
            </w:pPr>
            <w:r>
              <w:rPr>
                <w:sz w:val="24"/>
              </w:rPr>
              <w:t xml:space="preserve">Всероссийские, межрегиональные конкурсные мероприятия,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w:t>
            </w:r>
          </w:p>
        </w:tc>
      </w:tr>
      <w:tr>
        <w:tc>
          <w:tcPr>
            <w:tcW w:w="454" w:type="dxa"/>
            <w:vMerge w:val="restart"/>
          </w:tcPr>
          <w:p>
            <w:pPr>
              <w:pStyle w:val="0"/>
              <w:jc w:val="both"/>
            </w:pPr>
            <w:r>
              <w:rPr>
                <w:sz w:val="24"/>
              </w:rPr>
              <w:t xml:space="preserve">4.</w:t>
            </w:r>
          </w:p>
        </w:tc>
        <w:tc>
          <w:tcPr>
            <w:tcW w:w="3409" w:type="dxa"/>
            <w:vMerge w:val="restart"/>
          </w:tcPr>
          <w:p>
            <w:pPr>
              <w:pStyle w:val="0"/>
            </w:pPr>
            <w:r>
              <w:rPr>
                <w:sz w:val="24"/>
              </w:rPr>
              <w:t xml:space="preserve">Всероссийские, межрегиональные конкурсные мероприятия, проводимые органами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80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30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w:t>
            </w:r>
          </w:p>
        </w:tc>
      </w:tr>
      <w:tr>
        <w:tc>
          <w:tcPr>
            <w:tcW w:w="454" w:type="dxa"/>
            <w:vMerge w:val="restart"/>
          </w:tcPr>
          <w:p>
            <w:pPr>
              <w:pStyle w:val="0"/>
              <w:jc w:val="both"/>
            </w:pPr>
            <w:r>
              <w:rPr>
                <w:sz w:val="24"/>
              </w:rPr>
              <w:t xml:space="preserve">5.</w:t>
            </w:r>
          </w:p>
        </w:tc>
        <w:tc>
          <w:tcPr>
            <w:tcW w:w="3409" w:type="dxa"/>
            <w:vMerge w:val="restart"/>
          </w:tcPr>
          <w:p>
            <w:pPr>
              <w:pStyle w:val="0"/>
            </w:pPr>
            <w:r>
              <w:rPr>
                <w:sz w:val="24"/>
              </w:rPr>
              <w:t xml:space="preserve">Региональные (зональные) конкурсные мероприятия, проводимые органами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33</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33</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17</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43</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22</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22</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11</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28</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14</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14</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18</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9</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9</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w:t>
            </w:r>
          </w:p>
        </w:tc>
      </w:tr>
      <w:tr>
        <w:tc>
          <w:tcPr>
            <w:tcW w:w="454" w:type="dxa"/>
            <w:vMerge w:val="restart"/>
          </w:tcPr>
          <w:p>
            <w:pPr>
              <w:pStyle w:val="0"/>
              <w:jc w:val="both"/>
            </w:pPr>
            <w:r>
              <w:rPr>
                <w:sz w:val="24"/>
              </w:rPr>
              <w:t xml:space="preserve">6.</w:t>
            </w:r>
          </w:p>
        </w:tc>
        <w:tc>
          <w:tcPr>
            <w:tcW w:w="3409" w:type="dxa"/>
            <w:vMerge w:val="restart"/>
          </w:tcPr>
          <w:p>
            <w:pPr>
              <w:pStyle w:val="0"/>
            </w:pPr>
            <w:r>
              <w:rPr>
                <w:sz w:val="24"/>
              </w:rPr>
              <w:t xml:space="preserve">Муниципальные конкурсные мероприятия, проводимые органами местного самоуправления муниципальных образований Иркутской области (далее - органы местного самоуправления) в сфере культуры или образовательными организациями, или учреждениями культуры, в отношении которых функции и полномочия учредителя осуществляют данные органы местного самоуправления в сфере культуры</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8</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8</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8</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8</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4</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w:t>
            </w:r>
          </w:p>
        </w:tc>
      </w:tr>
      <w:tr>
        <w:tc>
          <w:tcPr>
            <w:tcW w:w="454" w:type="dxa"/>
            <w:vMerge w:val="restart"/>
          </w:tcPr>
          <w:p>
            <w:pPr>
              <w:pStyle w:val="0"/>
              <w:jc w:val="both"/>
            </w:pPr>
            <w:r>
              <w:rPr>
                <w:sz w:val="24"/>
              </w:rPr>
              <w:t xml:space="preserve">7.</w:t>
            </w:r>
          </w:p>
        </w:tc>
        <w:tc>
          <w:tcPr>
            <w:tcW w:w="3409" w:type="dxa"/>
            <w:vMerge w:val="restart"/>
          </w:tcPr>
          <w:p>
            <w:pPr>
              <w:pStyle w:val="0"/>
            </w:pPr>
            <w:r>
              <w:rPr>
                <w:sz w:val="24"/>
              </w:rPr>
              <w:t xml:space="preserve">Молодежные Дельфийские игры России, Дельфийские игры государств - участников СНГ</w:t>
            </w:r>
          </w:p>
        </w:tc>
        <w:tc>
          <w:tcPr>
            <w:tcW w:w="2404" w:type="dxa"/>
            <w:vMerge w:val="restart"/>
          </w:tcPr>
          <w:p>
            <w:pPr>
              <w:pStyle w:val="0"/>
            </w:pPr>
            <w:r>
              <w:rPr>
                <w:sz w:val="24"/>
              </w:rPr>
              <w:t xml:space="preserve">Золотая медаль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150</w:t>
            </w:r>
          </w:p>
        </w:tc>
      </w:tr>
      <w:tr>
        <w:tc>
          <w:tcPr>
            <w:vMerge w:val="continue"/>
          </w:tcPr>
          <w:p/>
        </w:tc>
        <w:tc>
          <w:tcPr>
            <w:vMerge w:val="continue"/>
          </w:tcPr>
          <w:p/>
        </w:tc>
        <w:tc>
          <w:tcPr>
            <w:tcW w:w="2404" w:type="dxa"/>
            <w:vMerge w:val="restart"/>
          </w:tcPr>
          <w:p>
            <w:pPr>
              <w:pStyle w:val="0"/>
            </w:pPr>
            <w:r>
              <w:rPr>
                <w:sz w:val="24"/>
              </w:rPr>
              <w:t xml:space="preserve">Серебряная медаль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tcW w:w="2404" w:type="dxa"/>
            <w:vMerge w:val="restart"/>
          </w:tcPr>
          <w:p>
            <w:pPr>
              <w:pStyle w:val="0"/>
            </w:pPr>
            <w:r>
              <w:rPr>
                <w:sz w:val="24"/>
              </w:rPr>
              <w:t xml:space="preserve">Бронзовая медаль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w:t>
            </w:r>
          </w:p>
        </w:tc>
      </w:tr>
      <w:tr>
        <w:tc>
          <w:tcPr>
            <w:tcW w:w="454" w:type="dxa"/>
          </w:tcPr>
          <w:p>
            <w:pPr>
              <w:pStyle w:val="0"/>
              <w:jc w:val="both"/>
            </w:pPr>
            <w:r>
              <w:rPr>
                <w:sz w:val="24"/>
              </w:rPr>
              <w:t xml:space="preserve">8.</w:t>
            </w:r>
          </w:p>
        </w:tc>
        <w:tc>
          <w:tcPr>
            <w:tcW w:w="3409" w:type="dxa"/>
          </w:tcPr>
          <w:p>
            <w:pPr>
              <w:pStyle w:val="0"/>
            </w:pPr>
            <w:r>
              <w:rPr>
                <w:sz w:val="24"/>
              </w:rPr>
              <w:t xml:space="preserve">Международные творческие школы "Новые имена", проводимые Благотворительным фондом "Новые имена" имени Иветты Вороновой, Конкурсный отбор на обучение в Образовательном центре "Сириус" по направлению "Искусство", Конкурс на соискание стипендии Благотворительного фонда "Новые имена" имени Иветты Вороновой</w:t>
            </w:r>
          </w:p>
        </w:tc>
        <w:tc>
          <w:tcPr>
            <w:tcW w:w="2404" w:type="dxa"/>
          </w:tcPr>
          <w:p>
            <w:pPr>
              <w:pStyle w:val="0"/>
            </w:pPr>
            <w:r>
              <w:rPr>
                <w:sz w:val="24"/>
              </w:rPr>
              <w:t xml:space="preserve">Участник/Стипендиат</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400</w:t>
            </w:r>
          </w:p>
        </w:tc>
      </w:tr>
      <w:tr>
        <w:tc>
          <w:tcPr>
            <w:tcW w:w="454" w:type="dxa"/>
          </w:tcPr>
          <w:p>
            <w:pPr>
              <w:pStyle w:val="0"/>
              <w:jc w:val="both"/>
            </w:pPr>
            <w:r>
              <w:rPr>
                <w:sz w:val="24"/>
              </w:rPr>
              <w:t xml:space="preserve">9.</w:t>
            </w:r>
          </w:p>
        </w:tc>
        <w:tc>
          <w:tcPr>
            <w:tcW w:w="3409" w:type="dxa"/>
          </w:tcPr>
          <w:p>
            <w:pPr>
              <w:pStyle w:val="0"/>
            </w:pPr>
            <w:r>
              <w:rPr>
                <w:sz w:val="24"/>
              </w:rPr>
              <w:t xml:space="preserve">Персональная выставка изобразительного искусства и (или) декоративно-прикладного искусства, представленная не менее чем десятью творческими работами</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tcW w:w="454" w:type="dxa"/>
          </w:tcPr>
          <w:p>
            <w:pPr>
              <w:pStyle w:val="0"/>
              <w:jc w:val="both"/>
            </w:pPr>
            <w:r>
              <w:rPr>
                <w:sz w:val="24"/>
              </w:rPr>
              <w:t xml:space="preserve">10.</w:t>
            </w:r>
          </w:p>
        </w:tc>
        <w:tc>
          <w:tcPr>
            <w:tcW w:w="3409" w:type="dxa"/>
          </w:tcPr>
          <w:p>
            <w:pPr>
              <w:pStyle w:val="0"/>
            </w:pPr>
            <w:r>
              <w:rPr>
                <w:sz w:val="24"/>
              </w:rPr>
              <w:t xml:space="preserve">Международные выставки изобразительного искусства и (или) декоративно-прикладного творчества,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tcW w:w="454" w:type="dxa"/>
          </w:tcPr>
          <w:p>
            <w:pPr>
              <w:pStyle w:val="0"/>
              <w:jc w:val="both"/>
            </w:pPr>
            <w:r>
              <w:rPr>
                <w:sz w:val="24"/>
              </w:rPr>
              <w:t xml:space="preserve">11.</w:t>
            </w:r>
          </w:p>
        </w:tc>
        <w:tc>
          <w:tcPr>
            <w:tcW w:w="3409" w:type="dxa"/>
          </w:tcPr>
          <w:p>
            <w:pPr>
              <w:pStyle w:val="0"/>
            </w:pPr>
            <w:r>
              <w:rPr>
                <w:sz w:val="24"/>
              </w:rPr>
              <w:t xml:space="preserve">Всероссийские выставки изобразительного искусства и (или) декоративно-прикладного творчества,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tcW w:w="454" w:type="dxa"/>
          </w:tcPr>
          <w:p>
            <w:pPr>
              <w:pStyle w:val="0"/>
              <w:jc w:val="both"/>
            </w:pPr>
            <w:r>
              <w:rPr>
                <w:sz w:val="24"/>
              </w:rPr>
              <w:t xml:space="preserve">12.</w:t>
            </w:r>
          </w:p>
        </w:tc>
        <w:tc>
          <w:tcPr>
            <w:tcW w:w="3409" w:type="dxa"/>
          </w:tcPr>
          <w:p>
            <w:pPr>
              <w:pStyle w:val="0"/>
            </w:pPr>
            <w:r>
              <w:rPr>
                <w:sz w:val="24"/>
              </w:rPr>
              <w:t xml:space="preserve">Областные, региональные и муниципальные выставки изобразительного искусства и (или) декоративно-прикладного творчества, проводимые органами культуры субъектов РФ или органами местного самоуправления в сфере культуры</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tcW w:w="454" w:type="dxa"/>
          </w:tcPr>
          <w:p>
            <w:pPr>
              <w:pStyle w:val="0"/>
              <w:jc w:val="both"/>
            </w:pPr>
            <w:r>
              <w:rPr>
                <w:sz w:val="24"/>
              </w:rPr>
              <w:t xml:space="preserve">13.</w:t>
            </w:r>
          </w:p>
        </w:tc>
        <w:tc>
          <w:tcPr>
            <w:tcW w:w="3409" w:type="dxa"/>
          </w:tcPr>
          <w:p>
            <w:pPr>
              <w:pStyle w:val="0"/>
            </w:pPr>
            <w:r>
              <w:rPr>
                <w:sz w:val="24"/>
              </w:rPr>
              <w:t xml:space="preserve">Сольный концерт в качестве исполнителя-инструменталиста или исполнителя-вокалиста, продолжительностью не менее 30 минут (учитывается не более трех сольных концертов)</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tcW w:w="454" w:type="dxa"/>
            <w:vMerge w:val="restart"/>
          </w:tcPr>
          <w:p>
            <w:pPr>
              <w:pStyle w:val="0"/>
              <w:jc w:val="both"/>
            </w:pPr>
            <w:r>
              <w:rPr>
                <w:sz w:val="24"/>
              </w:rPr>
              <w:t xml:space="preserve">14.</w:t>
            </w:r>
          </w:p>
        </w:tc>
        <w:tc>
          <w:tcPr>
            <w:tcW w:w="3409" w:type="dxa"/>
            <w:vMerge w:val="restart"/>
          </w:tcPr>
          <w:p>
            <w:pPr>
              <w:pStyle w:val="0"/>
            </w:pPr>
            <w:r>
              <w:rPr>
                <w:sz w:val="24"/>
              </w:rPr>
              <w:t xml:space="preserve">Международные научно-практические конференции (форумы) в области культуры и искусства,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Докладчик</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tcW w:w="454" w:type="dxa"/>
            <w:vMerge w:val="restart"/>
          </w:tcPr>
          <w:p>
            <w:pPr>
              <w:pStyle w:val="0"/>
              <w:jc w:val="both"/>
            </w:pPr>
            <w:r>
              <w:rPr>
                <w:sz w:val="24"/>
              </w:rPr>
              <w:t xml:space="preserve">15.</w:t>
            </w:r>
          </w:p>
        </w:tc>
        <w:tc>
          <w:tcPr>
            <w:tcW w:w="3409" w:type="dxa"/>
            <w:vMerge w:val="restart"/>
          </w:tcPr>
          <w:p>
            <w:pPr>
              <w:pStyle w:val="0"/>
            </w:pPr>
            <w:r>
              <w:rPr>
                <w:sz w:val="24"/>
              </w:rPr>
              <w:t xml:space="preserve">Международные олимпиады в области культуры и искусства,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80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30</w:t>
            </w:r>
          </w:p>
        </w:tc>
      </w:tr>
      <w:tr>
        <w:tc>
          <w:tcPr>
            <w:tcW w:w="454" w:type="dxa"/>
            <w:vMerge w:val="restart"/>
          </w:tcPr>
          <w:p>
            <w:pPr>
              <w:pStyle w:val="0"/>
              <w:jc w:val="both"/>
            </w:pPr>
            <w:r>
              <w:rPr>
                <w:sz w:val="24"/>
              </w:rPr>
              <w:t xml:space="preserve">16.</w:t>
            </w:r>
          </w:p>
        </w:tc>
        <w:tc>
          <w:tcPr>
            <w:tcW w:w="3409" w:type="dxa"/>
            <w:vMerge w:val="restart"/>
          </w:tcPr>
          <w:p>
            <w:pPr>
              <w:pStyle w:val="0"/>
            </w:pPr>
            <w:r>
              <w:rPr>
                <w:sz w:val="24"/>
              </w:rPr>
              <w:t xml:space="preserve">Всероссийские научно-практические конференции (форумы) в области культуры и искусства,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Докладчик</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tcW w:w="454" w:type="dxa"/>
            <w:vMerge w:val="restart"/>
          </w:tcPr>
          <w:p>
            <w:pPr>
              <w:pStyle w:val="0"/>
              <w:jc w:val="both"/>
            </w:pPr>
            <w:r>
              <w:rPr>
                <w:sz w:val="24"/>
              </w:rPr>
              <w:t xml:space="preserve">17.</w:t>
            </w:r>
          </w:p>
        </w:tc>
        <w:tc>
          <w:tcPr>
            <w:tcW w:w="3409" w:type="dxa"/>
            <w:vMerge w:val="restart"/>
          </w:tcPr>
          <w:p>
            <w:pPr>
              <w:pStyle w:val="0"/>
            </w:pPr>
            <w:r>
              <w:rPr>
                <w:sz w:val="24"/>
              </w:rPr>
              <w:t xml:space="preserve">Всероссийские олимпиады в области культуры и искусства,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80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40</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w:t>
            </w:r>
          </w:p>
        </w:tc>
      </w:tr>
      <w:tr>
        <w:tc>
          <w:tcPr>
            <w:tcW w:w="454" w:type="dxa"/>
            <w:vMerge w:val="restart"/>
          </w:tcPr>
          <w:p>
            <w:pPr>
              <w:pStyle w:val="0"/>
              <w:jc w:val="both"/>
            </w:pPr>
            <w:r>
              <w:rPr>
                <w:sz w:val="24"/>
              </w:rPr>
              <w:t xml:space="preserve">18.</w:t>
            </w:r>
          </w:p>
        </w:tc>
        <w:tc>
          <w:tcPr>
            <w:tcW w:w="3409" w:type="dxa"/>
            <w:vMerge w:val="restart"/>
          </w:tcPr>
          <w:p>
            <w:pPr>
              <w:pStyle w:val="0"/>
            </w:pPr>
            <w:r>
              <w:rPr>
                <w:sz w:val="24"/>
              </w:rPr>
              <w:t xml:space="preserve">Областные, региональные и муниципальные научно-практические конференции (форумы) в области культуры и искусства, проводимые органами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Докладчик</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18</w:t>
            </w:r>
          </w:p>
        </w:tc>
      </w:tr>
      <w:tr>
        <w:tc>
          <w:tcPr>
            <w:tcW w:w="454" w:type="dxa"/>
            <w:vMerge w:val="restart"/>
          </w:tcPr>
          <w:p>
            <w:pPr>
              <w:pStyle w:val="0"/>
              <w:jc w:val="both"/>
            </w:pPr>
            <w:r>
              <w:rPr>
                <w:sz w:val="24"/>
              </w:rPr>
              <w:t xml:space="preserve">19.</w:t>
            </w:r>
          </w:p>
        </w:tc>
        <w:tc>
          <w:tcPr>
            <w:tcW w:w="3409" w:type="dxa"/>
            <w:vMerge w:val="restart"/>
          </w:tcPr>
          <w:p>
            <w:pPr>
              <w:pStyle w:val="0"/>
            </w:pPr>
            <w:r>
              <w:rPr>
                <w:sz w:val="24"/>
              </w:rPr>
              <w:t xml:space="preserve">Областные, региональные и муниципальные олимпиады в области культуры и искусства, проводимые органами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17</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12</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w:t>
            </w:r>
          </w:p>
        </w:tc>
      </w:tr>
      <w:tr>
        <w:tc>
          <w:tcPr>
            <w:tcW w:w="454" w:type="dxa"/>
            <w:vMerge w:val="restart"/>
          </w:tcPr>
          <w:p>
            <w:pPr>
              <w:pStyle w:val="0"/>
              <w:jc w:val="both"/>
            </w:pPr>
            <w:r>
              <w:rPr>
                <w:sz w:val="24"/>
              </w:rPr>
              <w:t xml:space="preserve">20.</w:t>
            </w:r>
          </w:p>
        </w:tc>
        <w:tc>
          <w:tcPr>
            <w:tcW w:w="3409" w:type="dxa"/>
            <w:vMerge w:val="restart"/>
          </w:tcPr>
          <w:p>
            <w:pPr>
              <w:pStyle w:val="0"/>
            </w:pPr>
            <w:r>
              <w:rPr>
                <w:sz w:val="24"/>
              </w:rPr>
              <w:t xml:space="preserve">Осуществление добровольческой деятельности, связанной с обслуживанием и организацией сервиса культурно-просветительских мероприятий, в качестве волонтера культуры</w:t>
            </w:r>
          </w:p>
        </w:tc>
        <w:tc>
          <w:tcPr>
            <w:tcW w:w="2404" w:type="dxa"/>
            <w:vMerge w:val="restart"/>
          </w:tcPr>
          <w:p>
            <w:pPr>
              <w:pStyle w:val="0"/>
            </w:pPr>
            <w:r>
              <w:rPr>
                <w:sz w:val="24"/>
              </w:rPr>
              <w:t xml:space="preserve">Участник</w:t>
            </w:r>
          </w:p>
        </w:tc>
        <w:tc>
          <w:tcPr>
            <w:tcW w:w="1999" w:type="dxa"/>
          </w:tcPr>
          <w:p>
            <w:pPr>
              <w:pStyle w:val="0"/>
            </w:pPr>
            <w:r>
              <w:rPr>
                <w:sz w:val="24"/>
              </w:rPr>
              <w:t xml:space="preserve">Индивидуальное (занятость до 20 часов в год)</w:t>
            </w:r>
          </w:p>
        </w:tc>
        <w:tc>
          <w:tcPr>
            <w:tcW w:w="1579" w:type="dxa"/>
          </w:tcPr>
          <w:p>
            <w:pPr>
              <w:pStyle w:val="0"/>
            </w:pPr>
            <w:r>
              <w:rPr>
                <w:sz w:val="24"/>
              </w:rPr>
              <w:t xml:space="preserve">Очное</w:t>
            </w:r>
          </w:p>
        </w:tc>
        <w:tc>
          <w:tcPr>
            <w:tcW w:w="1339" w:type="dxa"/>
          </w:tcPr>
          <w:p>
            <w:pPr>
              <w:pStyle w:val="0"/>
            </w:pPr>
            <w:r>
              <w:rPr>
                <w:sz w:val="24"/>
              </w:rPr>
              <w:t xml:space="preserve">30</w:t>
            </w:r>
          </w:p>
        </w:tc>
      </w:tr>
      <w:tr>
        <w:tc>
          <w:tcPr>
            <w:vMerge w:val="continue"/>
          </w:tcPr>
          <w:p/>
        </w:tc>
        <w:tc>
          <w:tcPr>
            <w:vMerge w:val="continue"/>
          </w:tcPr>
          <w:p/>
        </w:tc>
        <w:tc>
          <w:tcPr>
            <w:vMerge w:val="continue"/>
          </w:tcPr>
          <w:p/>
        </w:tc>
        <w:tc>
          <w:tcPr>
            <w:tcW w:w="1999" w:type="dxa"/>
          </w:tcPr>
          <w:p>
            <w:pPr>
              <w:pStyle w:val="0"/>
            </w:pPr>
            <w:r>
              <w:rPr>
                <w:sz w:val="24"/>
              </w:rPr>
              <w:t xml:space="preserve">Индивидуальное (занятость свыше 20 часов в год)</w:t>
            </w:r>
          </w:p>
        </w:tc>
        <w:tc>
          <w:tcPr>
            <w:tcW w:w="1579" w:type="dxa"/>
          </w:tcPr>
          <w:p>
            <w:pPr>
              <w:pStyle w:val="0"/>
            </w:pPr>
            <w:r>
              <w:rPr>
                <w:sz w:val="24"/>
              </w:rPr>
              <w:t xml:space="preserve">Очное</w:t>
            </w:r>
          </w:p>
        </w:tc>
        <w:tc>
          <w:tcPr>
            <w:tcW w:w="1339" w:type="dxa"/>
          </w:tcPr>
          <w:p>
            <w:pPr>
              <w:pStyle w:val="0"/>
            </w:pPr>
            <w:r>
              <w:rPr>
                <w:sz w:val="24"/>
              </w:rPr>
              <w:t xml:space="preserve">80</w:t>
            </w:r>
          </w:p>
        </w:tc>
      </w:tr>
    </w:tbl>
    <w:p>
      <w:pPr>
        <w:sectPr>
          <w:headerReference w:type="default" r:id="rId45"/>
          <w:headerReference w:type="first" r:id="rId45"/>
          <w:footerReference w:type="default" r:id="rId46"/>
          <w:footerReference w:type="first" r:id="rId46"/>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Положению о стипендиях Губернатора</w:t>
      </w:r>
    </w:p>
    <w:p>
      <w:pPr>
        <w:pStyle w:val="0"/>
        <w:jc w:val="right"/>
      </w:pPr>
      <w:r>
        <w:rPr>
          <w:sz w:val="24"/>
        </w:rPr>
        <w:t xml:space="preserve">Иркутской области для одаренных детей</w:t>
      </w:r>
    </w:p>
    <w:p>
      <w:pPr>
        <w:pStyle w:val="0"/>
        <w:jc w:val="right"/>
      </w:pPr>
      <w:r>
        <w:rPr>
          <w:sz w:val="24"/>
        </w:rPr>
        <w:t xml:space="preserve">и талантливой молодежи за достижения</w:t>
      </w:r>
    </w:p>
    <w:p>
      <w:pPr>
        <w:pStyle w:val="0"/>
        <w:jc w:val="right"/>
      </w:pPr>
      <w:r>
        <w:rPr>
          <w:sz w:val="24"/>
        </w:rPr>
        <w:t xml:space="preserve">в области культуры и искусства</w:t>
      </w:r>
    </w:p>
    <w:p>
      <w:pPr>
        <w:pStyle w:val="0"/>
        <w:jc w:val="both"/>
      </w:pPr>
      <w:r>
        <w:rPr>
          <w:sz w:val="24"/>
        </w:rPr>
      </w:r>
    </w:p>
    <w:bookmarkStart w:id="794" w:name="P794"/>
    <w:bookmarkEnd w:id="794"/>
    <w:p>
      <w:pPr>
        <w:pStyle w:val="2"/>
        <w:jc w:val="center"/>
      </w:pPr>
      <w:r>
        <w:rPr>
          <w:sz w:val="24"/>
        </w:rPr>
        <w:t xml:space="preserve">КРИТЕРИИ ОЦЕНКИ</w:t>
      </w:r>
    </w:p>
    <w:p>
      <w:pPr>
        <w:pStyle w:val="2"/>
        <w:jc w:val="center"/>
      </w:pPr>
      <w:r>
        <w:rPr>
          <w:sz w:val="24"/>
        </w:rPr>
        <w:t xml:space="preserve">ТАЛАНТЛИВОЙ МОЛОДЕЖИ ДЛЯ ПОЛУЧЕНИЯ СТИПЕНДИЙ ГУБЕРНАТОРА</w:t>
      </w:r>
    </w:p>
    <w:p>
      <w:pPr>
        <w:pStyle w:val="2"/>
        <w:jc w:val="center"/>
      </w:pPr>
      <w:r>
        <w:rPr>
          <w:sz w:val="24"/>
        </w:rPr>
        <w:t xml:space="preserve">ИРКУТСКОЙ ОБЛАСТИ ДЛЯ ОДАРЕННЫХ ДЕТЕЙ И ТАЛАНТЛИВОЙ МОЛОДЕЖИ</w:t>
      </w:r>
    </w:p>
    <w:p>
      <w:pPr>
        <w:pStyle w:val="2"/>
        <w:jc w:val="center"/>
      </w:pPr>
      <w:r>
        <w:rPr>
          <w:sz w:val="24"/>
        </w:rPr>
        <w:t xml:space="preserve">ЗА ДОСТИЖЕНИЯ В ОБЛАСТИ КУЛЬТУРЫ И ИСКУССТВА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49" w:tooltip="Указ Губернатора Иркутской области от 18.11.2025 N 369-уг &quot;О внесении изменений в Положение о стипендиях Губернатора Иркутской области для одаренных детей и талантливой молодежи за достижения в области культуры и искусства&quot; {КонсультантПлюс}">
              <w:r>
                <w:rPr>
                  <w:sz w:val="24"/>
                  <w:color w:val="0000ff"/>
                </w:rPr>
                <w:t xml:space="preserve">Указа</w:t>
              </w:r>
            </w:hyperlink>
            <w:r>
              <w:rPr>
                <w:sz w:val="24"/>
                <w:color w:val="392c69"/>
              </w:rPr>
              <w:t xml:space="preserve"> Губернатора Иркутской области</w:t>
            </w:r>
          </w:p>
          <w:p>
            <w:pPr>
              <w:pStyle w:val="0"/>
              <w:jc w:val="center"/>
            </w:pPr>
            <w:r>
              <w:rPr>
                <w:sz w:val="24"/>
                <w:color w:val="392c69"/>
              </w:rPr>
              <w:t xml:space="preserve">от 18.11.2025 N 369-уг)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3409"/>
        <w:gridCol w:w="2404"/>
        <w:gridCol w:w="1999"/>
        <w:gridCol w:w="1579"/>
        <w:gridCol w:w="1339"/>
      </w:tblGrid>
      <w:tr>
        <w:tc>
          <w:tcPr>
            <w:tcW w:w="454" w:type="dxa"/>
          </w:tcPr>
          <w:p>
            <w:pPr>
              <w:pStyle w:val="0"/>
              <w:jc w:val="center"/>
            </w:pPr>
            <w:r>
              <w:rPr>
                <w:sz w:val="24"/>
              </w:rPr>
              <w:t xml:space="preserve">N п/п</w:t>
            </w:r>
          </w:p>
        </w:tc>
        <w:tc>
          <w:tcPr>
            <w:tcW w:w="3409" w:type="dxa"/>
          </w:tcPr>
          <w:p>
            <w:pPr>
              <w:pStyle w:val="0"/>
              <w:jc w:val="center"/>
            </w:pPr>
            <w:r>
              <w:rPr>
                <w:sz w:val="24"/>
              </w:rPr>
              <w:t xml:space="preserve">Уровень конкурса, мероприятия, заслуг</w:t>
            </w:r>
          </w:p>
        </w:tc>
        <w:tc>
          <w:tcPr>
            <w:tcW w:w="2404" w:type="dxa"/>
          </w:tcPr>
          <w:p>
            <w:pPr>
              <w:pStyle w:val="0"/>
              <w:jc w:val="center"/>
            </w:pPr>
            <w:r>
              <w:rPr>
                <w:sz w:val="24"/>
              </w:rPr>
              <w:t xml:space="preserve">Достижения</w:t>
            </w:r>
          </w:p>
        </w:tc>
        <w:tc>
          <w:tcPr>
            <w:tcW w:w="1999" w:type="dxa"/>
          </w:tcPr>
          <w:p>
            <w:pPr>
              <w:pStyle w:val="0"/>
              <w:jc w:val="center"/>
            </w:pPr>
            <w:r>
              <w:rPr>
                <w:sz w:val="24"/>
              </w:rPr>
              <w:t xml:space="preserve">Участие индивидуальное/в составе творческого коллектива (клубного формирования) (далее - коллектив)</w:t>
            </w:r>
          </w:p>
        </w:tc>
        <w:tc>
          <w:tcPr>
            <w:tcW w:w="1579" w:type="dxa"/>
          </w:tcPr>
          <w:p>
            <w:pPr>
              <w:pStyle w:val="0"/>
              <w:jc w:val="center"/>
            </w:pPr>
            <w:r>
              <w:rPr>
                <w:sz w:val="24"/>
              </w:rPr>
              <w:t xml:space="preserve">Участие очное/заочное</w:t>
            </w:r>
          </w:p>
        </w:tc>
        <w:tc>
          <w:tcPr>
            <w:tcW w:w="1339" w:type="dxa"/>
          </w:tcPr>
          <w:p>
            <w:pPr>
              <w:pStyle w:val="0"/>
              <w:jc w:val="center"/>
            </w:pPr>
            <w:r>
              <w:rPr>
                <w:sz w:val="24"/>
              </w:rPr>
              <w:t xml:space="preserve">Количество баллов</w:t>
            </w:r>
          </w:p>
        </w:tc>
      </w:tr>
      <w:tr>
        <w:tc>
          <w:tcPr>
            <w:tcW w:w="454" w:type="dxa"/>
            <w:vMerge w:val="restart"/>
          </w:tcPr>
          <w:p>
            <w:pPr>
              <w:pStyle w:val="0"/>
              <w:jc w:val="both"/>
            </w:pPr>
            <w:r>
              <w:rPr>
                <w:sz w:val="24"/>
              </w:rPr>
              <w:t xml:space="preserve">1.</w:t>
            </w:r>
          </w:p>
        </w:tc>
        <w:tc>
          <w:tcPr>
            <w:tcW w:w="3409" w:type="dxa"/>
            <w:vMerge w:val="restart"/>
          </w:tcPr>
          <w:p>
            <w:pPr>
              <w:pStyle w:val="0"/>
            </w:pPr>
            <w:r>
              <w:rPr>
                <w:sz w:val="24"/>
              </w:rPr>
              <w:t xml:space="preserve">Международные конкурсные мероприятия, проводимые Министерством культуры Российской Федерации (далее -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150</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500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125</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125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125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tcW w:w="454" w:type="dxa"/>
            <w:vMerge w:val="restart"/>
          </w:tcPr>
          <w:p>
            <w:pPr>
              <w:pStyle w:val="0"/>
              <w:jc w:val="both"/>
            </w:pPr>
            <w:r>
              <w:rPr>
                <w:sz w:val="24"/>
              </w:rPr>
              <w:t xml:space="preserve">2.</w:t>
            </w:r>
          </w:p>
        </w:tc>
        <w:tc>
          <w:tcPr>
            <w:tcW w:w="3409" w:type="dxa"/>
            <w:vMerge w:val="restart"/>
          </w:tcPr>
          <w:p>
            <w:pPr>
              <w:pStyle w:val="0"/>
            </w:pPr>
            <w:r>
              <w:rPr>
                <w:sz w:val="24"/>
              </w:rPr>
              <w:t xml:space="preserve">Международные конкурсные мероприятия, проводимые органами государственной власти субъектов Российской Федерации в области культуры (далее - органы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75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37</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130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65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65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33</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110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23</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90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45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23</w:t>
            </w:r>
          </w:p>
        </w:tc>
      </w:tr>
      <w:tr>
        <w:tc>
          <w:tcPr>
            <w:tcW w:w="454" w:type="dxa"/>
            <w:vMerge w:val="restart"/>
          </w:tcPr>
          <w:p>
            <w:pPr>
              <w:pStyle w:val="0"/>
              <w:jc w:val="both"/>
            </w:pPr>
            <w:r>
              <w:rPr>
                <w:sz w:val="24"/>
              </w:rPr>
              <w:t xml:space="preserve">3.</w:t>
            </w:r>
          </w:p>
        </w:tc>
        <w:tc>
          <w:tcPr>
            <w:tcW w:w="3409" w:type="dxa"/>
            <w:vMerge w:val="restart"/>
          </w:tcPr>
          <w:p>
            <w:pPr>
              <w:pStyle w:val="0"/>
            </w:pPr>
            <w:r>
              <w:rPr>
                <w:sz w:val="24"/>
              </w:rPr>
              <w:t xml:space="preserve">Всероссийские, межрегиональные конкурсные мероприятия,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w:t>
            </w:r>
          </w:p>
        </w:tc>
      </w:tr>
      <w:tr>
        <w:tc>
          <w:tcPr>
            <w:tcW w:w="454" w:type="dxa"/>
            <w:vMerge w:val="restart"/>
          </w:tcPr>
          <w:p>
            <w:pPr>
              <w:pStyle w:val="0"/>
              <w:jc w:val="both"/>
            </w:pPr>
            <w:r>
              <w:rPr>
                <w:sz w:val="24"/>
              </w:rPr>
              <w:t xml:space="preserve">4.</w:t>
            </w:r>
          </w:p>
        </w:tc>
        <w:tc>
          <w:tcPr>
            <w:tcW w:w="3409" w:type="dxa"/>
            <w:vMerge w:val="restart"/>
          </w:tcPr>
          <w:p>
            <w:pPr>
              <w:pStyle w:val="0"/>
            </w:pPr>
            <w:r>
              <w:rPr>
                <w:sz w:val="24"/>
              </w:rPr>
              <w:t xml:space="preserve">Всероссийские, межрегиональные конкурсные мероприятия, проводимые органами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80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30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w:t>
            </w:r>
          </w:p>
        </w:tc>
      </w:tr>
      <w:tr>
        <w:tc>
          <w:tcPr>
            <w:tcW w:w="454" w:type="dxa"/>
            <w:vMerge w:val="restart"/>
          </w:tcPr>
          <w:p>
            <w:pPr>
              <w:pStyle w:val="0"/>
              <w:jc w:val="both"/>
            </w:pPr>
            <w:r>
              <w:rPr>
                <w:sz w:val="24"/>
              </w:rPr>
              <w:t xml:space="preserve">5.</w:t>
            </w:r>
          </w:p>
        </w:tc>
        <w:tc>
          <w:tcPr>
            <w:tcW w:w="3409" w:type="dxa"/>
            <w:vMerge w:val="restart"/>
          </w:tcPr>
          <w:p>
            <w:pPr>
              <w:pStyle w:val="0"/>
            </w:pPr>
            <w:r>
              <w:rPr>
                <w:sz w:val="24"/>
              </w:rPr>
              <w:t xml:space="preserve">Региональные (зональные) конкурсные мероприятия, проводимые органами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33</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33</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17</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43</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22</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22</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11</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28</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14</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14</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18</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9</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9</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w:t>
            </w:r>
          </w:p>
        </w:tc>
      </w:tr>
      <w:tr>
        <w:tc>
          <w:tcPr>
            <w:tcW w:w="454" w:type="dxa"/>
            <w:vMerge w:val="restart"/>
          </w:tcPr>
          <w:p>
            <w:pPr>
              <w:pStyle w:val="0"/>
              <w:jc w:val="both"/>
            </w:pPr>
            <w:r>
              <w:rPr>
                <w:sz w:val="24"/>
              </w:rPr>
              <w:t xml:space="preserve">6.</w:t>
            </w:r>
          </w:p>
        </w:tc>
        <w:tc>
          <w:tcPr>
            <w:tcW w:w="3409" w:type="dxa"/>
            <w:vMerge w:val="restart"/>
          </w:tcPr>
          <w:p>
            <w:pPr>
              <w:pStyle w:val="0"/>
            </w:pPr>
            <w:r>
              <w:rPr>
                <w:sz w:val="24"/>
              </w:rPr>
              <w:t xml:space="preserve">Муниципальные конкурсные мероприятия, проводимые органами местного самоуправления муниципальных образований Иркутской области (далее - органы местного самоуправления) в сфере культуры или образовательными организациями, или учреждениями культуры, в отношении которых функции и полномочия учредителя осуществляют данные органы местного самоуправления в сфере культуры</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8</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8</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8</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8</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4</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w:t>
            </w:r>
          </w:p>
        </w:tc>
      </w:tr>
      <w:tr>
        <w:tc>
          <w:tcPr>
            <w:tcW w:w="454" w:type="dxa"/>
            <w:vMerge w:val="restart"/>
          </w:tcPr>
          <w:p>
            <w:pPr>
              <w:pStyle w:val="0"/>
              <w:jc w:val="both"/>
            </w:pPr>
            <w:r>
              <w:rPr>
                <w:sz w:val="24"/>
              </w:rPr>
              <w:t xml:space="preserve">7.</w:t>
            </w:r>
          </w:p>
        </w:tc>
        <w:tc>
          <w:tcPr>
            <w:tcW w:w="3409" w:type="dxa"/>
            <w:vMerge w:val="restart"/>
          </w:tcPr>
          <w:p>
            <w:pPr>
              <w:pStyle w:val="0"/>
            </w:pPr>
            <w:r>
              <w:rPr>
                <w:sz w:val="24"/>
              </w:rPr>
              <w:t xml:space="preserve">Молодежные Дельфийские игры России, Дельфийские игры государств - участников СНГ</w:t>
            </w:r>
          </w:p>
        </w:tc>
        <w:tc>
          <w:tcPr>
            <w:tcW w:w="2404" w:type="dxa"/>
            <w:vMerge w:val="restart"/>
          </w:tcPr>
          <w:p>
            <w:pPr>
              <w:pStyle w:val="0"/>
            </w:pPr>
            <w:r>
              <w:rPr>
                <w:sz w:val="24"/>
              </w:rPr>
              <w:t xml:space="preserve">Золотая медаль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150</w:t>
            </w:r>
          </w:p>
        </w:tc>
      </w:tr>
      <w:tr>
        <w:tc>
          <w:tcPr>
            <w:vMerge w:val="continue"/>
          </w:tcPr>
          <w:p/>
        </w:tc>
        <w:tc>
          <w:tcPr>
            <w:vMerge w:val="continue"/>
          </w:tcPr>
          <w:p/>
        </w:tc>
        <w:tc>
          <w:tcPr>
            <w:tcW w:w="2404" w:type="dxa"/>
            <w:vMerge w:val="restart"/>
          </w:tcPr>
          <w:p>
            <w:pPr>
              <w:pStyle w:val="0"/>
            </w:pPr>
            <w:r>
              <w:rPr>
                <w:sz w:val="24"/>
              </w:rPr>
              <w:t xml:space="preserve">Серебряная медаль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tcW w:w="2404" w:type="dxa"/>
            <w:vMerge w:val="restart"/>
          </w:tcPr>
          <w:p>
            <w:pPr>
              <w:pStyle w:val="0"/>
            </w:pPr>
            <w:r>
              <w:rPr>
                <w:sz w:val="24"/>
              </w:rPr>
              <w:t xml:space="preserve">Бронзовая медаль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tcW w:w="1999" w:type="dxa"/>
            <w:vMerge w:val="restart"/>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w:t>
            </w:r>
          </w:p>
        </w:tc>
      </w:tr>
      <w:tr>
        <w:tc>
          <w:tcPr>
            <w:tcW w:w="454" w:type="dxa"/>
          </w:tcPr>
          <w:p>
            <w:pPr>
              <w:pStyle w:val="0"/>
              <w:jc w:val="both"/>
            </w:pPr>
            <w:r>
              <w:rPr>
                <w:sz w:val="24"/>
              </w:rPr>
              <w:t xml:space="preserve">8.</w:t>
            </w:r>
          </w:p>
        </w:tc>
        <w:tc>
          <w:tcPr>
            <w:tcW w:w="3409" w:type="dxa"/>
          </w:tcPr>
          <w:p>
            <w:pPr>
              <w:pStyle w:val="0"/>
            </w:pPr>
            <w:r>
              <w:rPr>
                <w:sz w:val="24"/>
              </w:rPr>
              <w:t xml:space="preserve">Международные творческие школы "Новые имена", проводимые Благотворительным фондом "Новые имена" имени Иветты Вороновой, Конкурсный отбор на обучение в Образовательном центре "Сириус" по направлению "Искусство", Конкурс на соискание стипендии Благотворительного фонда "Новые имена" имени Иветты Вороновой</w:t>
            </w:r>
          </w:p>
        </w:tc>
        <w:tc>
          <w:tcPr>
            <w:tcW w:w="2404" w:type="dxa"/>
          </w:tcPr>
          <w:p>
            <w:pPr>
              <w:pStyle w:val="0"/>
            </w:pPr>
            <w:r>
              <w:rPr>
                <w:sz w:val="24"/>
              </w:rPr>
              <w:t xml:space="preserve">Участник/Стипендиат</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400</w:t>
            </w:r>
          </w:p>
        </w:tc>
      </w:tr>
      <w:tr>
        <w:tc>
          <w:tcPr>
            <w:tcW w:w="454" w:type="dxa"/>
            <w:vMerge w:val="restart"/>
          </w:tcPr>
          <w:p>
            <w:pPr>
              <w:pStyle w:val="0"/>
              <w:jc w:val="both"/>
            </w:pPr>
            <w:r>
              <w:rPr>
                <w:sz w:val="24"/>
              </w:rPr>
              <w:t xml:space="preserve">9.</w:t>
            </w:r>
          </w:p>
        </w:tc>
        <w:tc>
          <w:tcPr>
            <w:tcW w:w="3409" w:type="dxa"/>
            <w:vMerge w:val="restart"/>
          </w:tcPr>
          <w:p>
            <w:pPr>
              <w:pStyle w:val="0"/>
            </w:pPr>
            <w:r>
              <w:rPr>
                <w:sz w:val="24"/>
              </w:rPr>
              <w:t xml:space="preserve">Концертная, театральная или культмассовая деятельность в рамках муниципальных или областных культурно-просветительских мероприятий, организатором которых не является образовательная организация, в которой обучается кандидат</w:t>
            </w:r>
          </w:p>
        </w:tc>
        <w:tc>
          <w:tcPr>
            <w:tcW w:w="2404" w:type="dxa"/>
            <w:vMerge w:val="restart"/>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tcW w:w="1999" w:type="dxa"/>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25</w:t>
            </w:r>
          </w:p>
        </w:tc>
      </w:tr>
      <w:tr>
        <w:tc>
          <w:tcPr>
            <w:tcW w:w="454" w:type="dxa"/>
            <w:vMerge w:val="restart"/>
          </w:tcPr>
          <w:p>
            <w:pPr>
              <w:pStyle w:val="0"/>
              <w:jc w:val="both"/>
            </w:pPr>
            <w:r>
              <w:rPr>
                <w:sz w:val="24"/>
              </w:rPr>
              <w:t xml:space="preserve">10.</w:t>
            </w:r>
          </w:p>
        </w:tc>
        <w:tc>
          <w:tcPr>
            <w:tcW w:w="3409" w:type="dxa"/>
            <w:vMerge w:val="restart"/>
          </w:tcPr>
          <w:p>
            <w:pPr>
              <w:pStyle w:val="0"/>
            </w:pPr>
            <w:r>
              <w:rPr>
                <w:sz w:val="24"/>
              </w:rPr>
              <w:t xml:space="preserve">Концертная или театральная деятельность в рамках репертуарного плана концертных и театральных областных государственных учреждений, в отношении которых функции и полномочия учредителя осуществляет министерство культуры Иркутской области</w:t>
            </w:r>
          </w:p>
        </w:tc>
        <w:tc>
          <w:tcPr>
            <w:tcW w:w="2404" w:type="dxa"/>
            <w:vMerge w:val="restart"/>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tcW w:w="1999" w:type="dxa"/>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tcW w:w="454" w:type="dxa"/>
            <w:vMerge w:val="restart"/>
          </w:tcPr>
          <w:p>
            <w:pPr>
              <w:pStyle w:val="0"/>
              <w:jc w:val="both"/>
            </w:pPr>
            <w:r>
              <w:rPr>
                <w:sz w:val="24"/>
              </w:rPr>
              <w:t xml:space="preserve">11.</w:t>
            </w:r>
          </w:p>
        </w:tc>
        <w:tc>
          <w:tcPr>
            <w:tcW w:w="3409" w:type="dxa"/>
            <w:vMerge w:val="restart"/>
          </w:tcPr>
          <w:p>
            <w:pPr>
              <w:pStyle w:val="0"/>
            </w:pPr>
            <w:r>
              <w:rPr>
                <w:sz w:val="24"/>
              </w:rPr>
              <w:t xml:space="preserve">Концертная или театральная деятельность в рамках международных и всероссийских творческих проектов, реализуемых за пределами Иркутской области</w:t>
            </w:r>
          </w:p>
        </w:tc>
        <w:tc>
          <w:tcPr>
            <w:tcW w:w="2404" w:type="dxa"/>
            <w:vMerge w:val="restart"/>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tcW w:w="1999" w:type="dxa"/>
          </w:tcPr>
          <w:p>
            <w:pPr>
              <w:pStyle w:val="0"/>
            </w:pPr>
            <w:r>
              <w:rPr>
                <w:sz w:val="24"/>
              </w:rPr>
              <w:t xml:space="preserve">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tcW w:w="454" w:type="dxa"/>
          </w:tcPr>
          <w:p>
            <w:pPr>
              <w:pStyle w:val="0"/>
              <w:jc w:val="both"/>
            </w:pPr>
            <w:r>
              <w:rPr>
                <w:sz w:val="24"/>
              </w:rPr>
              <w:t xml:space="preserve">12.</w:t>
            </w:r>
          </w:p>
        </w:tc>
        <w:tc>
          <w:tcPr>
            <w:tcW w:w="3409" w:type="dxa"/>
          </w:tcPr>
          <w:p>
            <w:pPr>
              <w:pStyle w:val="0"/>
            </w:pPr>
            <w:r>
              <w:rPr>
                <w:sz w:val="24"/>
              </w:rPr>
              <w:t xml:space="preserve">Персональная выставка изобразительного искусства и (или) декоративно-прикладного искусства, представленная не менее чем десятью творческими работами</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tcW w:w="454" w:type="dxa"/>
          </w:tcPr>
          <w:p>
            <w:pPr>
              <w:pStyle w:val="0"/>
              <w:jc w:val="both"/>
            </w:pPr>
            <w:r>
              <w:rPr>
                <w:sz w:val="24"/>
              </w:rPr>
              <w:t xml:space="preserve">13.</w:t>
            </w:r>
          </w:p>
        </w:tc>
        <w:tc>
          <w:tcPr>
            <w:tcW w:w="3409" w:type="dxa"/>
          </w:tcPr>
          <w:p>
            <w:pPr>
              <w:pStyle w:val="0"/>
            </w:pPr>
            <w:r>
              <w:rPr>
                <w:sz w:val="24"/>
              </w:rPr>
              <w:t xml:space="preserve">Международные выставки изобразительного искусства и (или) декоративно-прикладного творчества,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tcW w:w="454" w:type="dxa"/>
          </w:tcPr>
          <w:p>
            <w:pPr>
              <w:pStyle w:val="0"/>
              <w:jc w:val="both"/>
            </w:pPr>
            <w:r>
              <w:rPr>
                <w:sz w:val="24"/>
              </w:rPr>
              <w:t xml:space="preserve">14.</w:t>
            </w:r>
          </w:p>
        </w:tc>
        <w:tc>
          <w:tcPr>
            <w:tcW w:w="3409" w:type="dxa"/>
          </w:tcPr>
          <w:p>
            <w:pPr>
              <w:pStyle w:val="0"/>
            </w:pPr>
            <w:r>
              <w:rPr>
                <w:sz w:val="24"/>
              </w:rPr>
              <w:t xml:space="preserve">Всероссийские выставки изобразительного искусства и (или) декоративно-прикладного творчества,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tcW w:w="454" w:type="dxa"/>
          </w:tcPr>
          <w:p>
            <w:pPr>
              <w:pStyle w:val="0"/>
              <w:jc w:val="both"/>
            </w:pPr>
            <w:r>
              <w:rPr>
                <w:sz w:val="24"/>
              </w:rPr>
              <w:t xml:space="preserve">15.</w:t>
            </w:r>
          </w:p>
        </w:tc>
        <w:tc>
          <w:tcPr>
            <w:tcW w:w="3409" w:type="dxa"/>
          </w:tcPr>
          <w:p>
            <w:pPr>
              <w:pStyle w:val="0"/>
            </w:pPr>
            <w:r>
              <w:rPr>
                <w:sz w:val="24"/>
              </w:rPr>
              <w:t xml:space="preserve">Областные, региональные и муниципальные выставки изобразительного искусства и (или) декоративно-прикладного творчества, проводимые органами культуры субъектов РФ или органами местного самоуправления в сфере культуры</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tcW w:w="454" w:type="dxa"/>
          </w:tcPr>
          <w:p>
            <w:pPr>
              <w:pStyle w:val="0"/>
              <w:jc w:val="both"/>
            </w:pPr>
            <w:r>
              <w:rPr>
                <w:sz w:val="24"/>
              </w:rPr>
              <w:t xml:space="preserve">16.</w:t>
            </w:r>
          </w:p>
        </w:tc>
        <w:tc>
          <w:tcPr>
            <w:tcW w:w="3409" w:type="dxa"/>
          </w:tcPr>
          <w:p>
            <w:pPr>
              <w:pStyle w:val="0"/>
            </w:pPr>
            <w:r>
              <w:rPr>
                <w:sz w:val="24"/>
              </w:rPr>
              <w:t xml:space="preserve">Сольный концерт в качестве исполнителя-инструменталиста или исполнителя-вокалиста или моноспектакль в качестве актера, продолжительностью не менее 40 минут (учитывается не более трех сольных концертов и моноспектаклей)</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tcW w:w="454" w:type="dxa"/>
            <w:vMerge w:val="restart"/>
          </w:tcPr>
          <w:p>
            <w:pPr>
              <w:pStyle w:val="0"/>
              <w:jc w:val="both"/>
            </w:pPr>
            <w:r>
              <w:rPr>
                <w:sz w:val="24"/>
              </w:rPr>
              <w:t xml:space="preserve">17.</w:t>
            </w:r>
          </w:p>
        </w:tc>
        <w:tc>
          <w:tcPr>
            <w:tcW w:w="3409" w:type="dxa"/>
            <w:vMerge w:val="restart"/>
          </w:tcPr>
          <w:p>
            <w:pPr>
              <w:pStyle w:val="0"/>
            </w:pPr>
            <w:r>
              <w:rPr>
                <w:sz w:val="24"/>
              </w:rPr>
              <w:t xml:space="preserve">Международные научно-практические конференции (форумы) в области культуры и искусства,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Докладчик</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tcW w:w="454" w:type="dxa"/>
            <w:vMerge w:val="restart"/>
          </w:tcPr>
          <w:p>
            <w:pPr>
              <w:pStyle w:val="0"/>
              <w:jc w:val="both"/>
            </w:pPr>
            <w:r>
              <w:rPr>
                <w:sz w:val="24"/>
              </w:rPr>
              <w:t xml:space="preserve">18.</w:t>
            </w:r>
          </w:p>
        </w:tc>
        <w:tc>
          <w:tcPr>
            <w:tcW w:w="3409" w:type="dxa"/>
            <w:vMerge w:val="restart"/>
          </w:tcPr>
          <w:p>
            <w:pPr>
              <w:pStyle w:val="0"/>
            </w:pPr>
            <w:r>
              <w:rPr>
                <w:sz w:val="24"/>
              </w:rPr>
              <w:t xml:space="preserve">Международные олимпиады в области культуры и искусства,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100</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80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30</w:t>
            </w:r>
          </w:p>
        </w:tc>
      </w:tr>
      <w:tr>
        <w:tc>
          <w:tcPr>
            <w:tcW w:w="454" w:type="dxa"/>
            <w:vMerge w:val="restart"/>
          </w:tcPr>
          <w:p>
            <w:pPr>
              <w:pStyle w:val="0"/>
              <w:jc w:val="both"/>
            </w:pPr>
            <w:r>
              <w:rPr>
                <w:sz w:val="24"/>
              </w:rPr>
              <w:t xml:space="preserve">19.</w:t>
            </w:r>
          </w:p>
        </w:tc>
        <w:tc>
          <w:tcPr>
            <w:tcW w:w="3409" w:type="dxa"/>
            <w:vMerge w:val="restart"/>
          </w:tcPr>
          <w:p>
            <w:pPr>
              <w:pStyle w:val="0"/>
            </w:pPr>
            <w:r>
              <w:rPr>
                <w:sz w:val="24"/>
              </w:rPr>
              <w:t xml:space="preserve">Всероссийские научно-практические конференции (форумы) в области культуры и искусства,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Докладчик</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tcW w:w="454" w:type="dxa"/>
            <w:vMerge w:val="restart"/>
          </w:tcPr>
          <w:p>
            <w:pPr>
              <w:pStyle w:val="0"/>
              <w:jc w:val="both"/>
            </w:pPr>
            <w:r>
              <w:rPr>
                <w:sz w:val="24"/>
              </w:rPr>
              <w:t xml:space="preserve">20.</w:t>
            </w:r>
          </w:p>
        </w:tc>
        <w:tc>
          <w:tcPr>
            <w:tcW w:w="3409" w:type="dxa"/>
            <w:vMerge w:val="restart"/>
          </w:tcPr>
          <w:p>
            <w:pPr>
              <w:pStyle w:val="0"/>
            </w:pPr>
            <w:r>
              <w:rPr>
                <w:sz w:val="24"/>
              </w:rPr>
              <w:t xml:space="preserve">Всероссийские олимпиады в области культуры и искусства, проводимые Минкультуры России или образовательными организациями, или учреждениями культуры, в отношении которых функции и полномочия учредителя осуществляет Минкультуры России</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80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40</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60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30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40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20</w:t>
            </w:r>
          </w:p>
        </w:tc>
      </w:tr>
      <w:tr>
        <w:tc>
          <w:tcPr>
            <w:tcW w:w="454" w:type="dxa"/>
            <w:vMerge w:val="restart"/>
          </w:tcPr>
          <w:p>
            <w:pPr>
              <w:pStyle w:val="0"/>
              <w:jc w:val="both"/>
            </w:pPr>
            <w:r>
              <w:rPr>
                <w:sz w:val="24"/>
              </w:rPr>
              <w:t xml:space="preserve">21.</w:t>
            </w:r>
          </w:p>
        </w:tc>
        <w:tc>
          <w:tcPr>
            <w:tcW w:w="3409" w:type="dxa"/>
            <w:vMerge w:val="restart"/>
          </w:tcPr>
          <w:p>
            <w:pPr>
              <w:pStyle w:val="0"/>
            </w:pPr>
            <w:r>
              <w:rPr>
                <w:sz w:val="24"/>
              </w:rPr>
              <w:t xml:space="preserve">Областные, региональные и муниципальные научно-практические конференции (форумы) в области культуры и искусства, проводимые органами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Докладчик</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18</w:t>
            </w:r>
          </w:p>
        </w:tc>
      </w:tr>
      <w:tr>
        <w:tc>
          <w:tcPr>
            <w:tcW w:w="454" w:type="dxa"/>
            <w:vMerge w:val="restart"/>
          </w:tcPr>
          <w:p>
            <w:pPr>
              <w:pStyle w:val="0"/>
              <w:jc w:val="both"/>
            </w:pPr>
            <w:r>
              <w:rPr>
                <w:sz w:val="24"/>
              </w:rPr>
              <w:t xml:space="preserve">22.</w:t>
            </w:r>
          </w:p>
        </w:tc>
        <w:tc>
          <w:tcPr>
            <w:tcW w:w="3409" w:type="dxa"/>
            <w:vMerge w:val="restart"/>
          </w:tcPr>
          <w:p>
            <w:pPr>
              <w:pStyle w:val="0"/>
            </w:pPr>
            <w:r>
              <w:rPr>
                <w:sz w:val="24"/>
              </w:rPr>
              <w:t xml:space="preserve">Областные, региональные и муниципальные олимпиады в области культуры и искусства, проводимые органами культуры субъектов РФ или образовательными организациями, или учреждениями культуры, в отношении которых функции и полномочия учредителя осуществляют органы культуры субъектов РФ</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35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17</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25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12</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15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w:t>
            </w:r>
          </w:p>
        </w:tc>
        <w:tc>
          <w:tcPr>
            <w:tcW w:w="1579" w:type="dxa"/>
          </w:tcPr>
          <w:p>
            <w:pPr>
              <w:pStyle w:val="0"/>
            </w:pPr>
            <w:r>
              <w:rPr>
                <w:sz w:val="24"/>
              </w:rPr>
              <w:t xml:space="preserve">Очное</w:t>
            </w:r>
          </w:p>
        </w:tc>
        <w:tc>
          <w:tcPr>
            <w:tcW w:w="1339" w:type="dxa"/>
          </w:tcPr>
          <w:p>
            <w:pPr>
              <w:pStyle w:val="0"/>
            </w:pPr>
            <w:r>
              <w:rPr>
                <w:sz w:val="24"/>
              </w:rPr>
              <w:t xml:space="preserve">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1</w:t>
            </w:r>
          </w:p>
        </w:tc>
      </w:tr>
      <w:tr>
        <w:tc>
          <w:tcPr>
            <w:tcW w:w="454" w:type="dxa"/>
            <w:vMerge w:val="restart"/>
          </w:tcPr>
          <w:p>
            <w:pPr>
              <w:pStyle w:val="0"/>
              <w:jc w:val="both"/>
            </w:pPr>
            <w:r>
              <w:rPr>
                <w:sz w:val="24"/>
              </w:rPr>
              <w:t xml:space="preserve">23.</w:t>
            </w:r>
          </w:p>
        </w:tc>
        <w:tc>
          <w:tcPr>
            <w:tcW w:w="3409" w:type="dxa"/>
            <w:vMerge w:val="restart"/>
          </w:tcPr>
          <w:p>
            <w:pPr>
              <w:pStyle w:val="0"/>
            </w:pPr>
            <w:r>
              <w:rPr>
                <w:sz w:val="24"/>
              </w:rPr>
              <w:t xml:space="preserve">Всероссийский фестиваль "Российская студенческая весна"</w:t>
            </w:r>
          </w:p>
        </w:tc>
        <w:tc>
          <w:tcPr>
            <w:tcW w:w="2404" w:type="dxa"/>
            <w:vMerge w:val="restart"/>
          </w:tcPr>
          <w:p>
            <w:pPr>
              <w:pStyle w:val="0"/>
            </w:pPr>
            <w:r>
              <w:rPr>
                <w:sz w:val="24"/>
              </w:rPr>
              <w:t xml:space="preserve">Лауреат Гран-при</w:t>
            </w:r>
          </w:p>
        </w:tc>
        <w:tc>
          <w:tcPr>
            <w:tcW w:w="1999" w:type="dxa"/>
            <w:vMerge w:val="restart"/>
          </w:tcPr>
          <w:p>
            <w:pPr>
              <w:pStyle w:val="0"/>
            </w:pPr>
            <w:r>
              <w:rPr>
                <w:sz w:val="24"/>
              </w:rPr>
              <w:t xml:space="preserve">Индивидуальное/в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75</w:t>
            </w:r>
          </w:p>
        </w:tc>
      </w:tr>
      <w:tr>
        <w:tc>
          <w:tcPr>
            <w:vMerge w:val="continue"/>
          </w:tcPr>
          <w:p/>
        </w:tc>
        <w:tc>
          <w:tcPr>
            <w:vMerge w:val="continue"/>
          </w:tcPr>
          <w:p/>
        </w:tc>
        <w:tc>
          <w:tcPr>
            <w:tcW w:w="2404" w:type="dxa"/>
            <w:vMerge w:val="restart"/>
          </w:tcPr>
          <w:p>
            <w:pPr>
              <w:pStyle w:val="0"/>
            </w:pPr>
            <w:r>
              <w:rPr>
                <w:sz w:val="24"/>
              </w:rPr>
              <w:t xml:space="preserve">Лауреат 1 степени/победитель</w:t>
            </w:r>
          </w:p>
        </w:tc>
        <w:tc>
          <w:tcPr>
            <w:tcW w:w="1999" w:type="dxa"/>
            <w:vMerge w:val="restart"/>
          </w:tcPr>
          <w:p>
            <w:pPr>
              <w:pStyle w:val="0"/>
            </w:pPr>
            <w:r>
              <w:rPr>
                <w:sz w:val="24"/>
              </w:rPr>
              <w:t xml:space="preserve">Индивидуальное/в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100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50</w:t>
            </w:r>
          </w:p>
        </w:tc>
      </w:tr>
      <w:tr>
        <w:tc>
          <w:tcPr>
            <w:vMerge w:val="continue"/>
          </w:tcPr>
          <w:p/>
        </w:tc>
        <w:tc>
          <w:tcPr>
            <w:vMerge w:val="continue"/>
          </w:tcPr>
          <w:p/>
        </w:tc>
        <w:tc>
          <w:tcPr>
            <w:tcW w:w="2404" w:type="dxa"/>
            <w:vMerge w:val="restart"/>
          </w:tcPr>
          <w:p>
            <w:pPr>
              <w:pStyle w:val="0"/>
            </w:pPr>
            <w:r>
              <w:rPr>
                <w:sz w:val="24"/>
              </w:rPr>
              <w:t xml:space="preserve">Лауреат 2, 3 степени</w:t>
            </w:r>
          </w:p>
        </w:tc>
        <w:tc>
          <w:tcPr>
            <w:tcW w:w="1999" w:type="dxa"/>
            <w:vMerge w:val="restart"/>
          </w:tcPr>
          <w:p>
            <w:pPr>
              <w:pStyle w:val="0"/>
            </w:pPr>
            <w:r>
              <w:rPr>
                <w:sz w:val="24"/>
              </w:rPr>
              <w:t xml:space="preserve">Индивидуальное/в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75</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40</w:t>
            </w:r>
          </w:p>
        </w:tc>
      </w:tr>
      <w:tr>
        <w:tc>
          <w:tcPr>
            <w:vMerge w:val="continue"/>
          </w:tcPr>
          <w:p/>
        </w:tc>
        <w:tc>
          <w:tcPr>
            <w:vMerge w:val="continue"/>
          </w:tcPr>
          <w:p/>
        </w:tc>
        <w:tc>
          <w:tcPr>
            <w:tcW w:w="2404" w:type="dxa"/>
            <w:vMerge w:val="restart"/>
          </w:tcPr>
          <w:p>
            <w:pPr>
              <w:pStyle w:val="0"/>
            </w:pPr>
            <w:r>
              <w:rPr>
                <w:sz w:val="24"/>
              </w:rPr>
              <w:t xml:space="preserve">Дипломант</w:t>
            </w:r>
          </w:p>
        </w:tc>
        <w:tc>
          <w:tcPr>
            <w:tcW w:w="1999" w:type="dxa"/>
            <w:vMerge w:val="restart"/>
          </w:tcPr>
          <w:p>
            <w:pPr>
              <w:pStyle w:val="0"/>
            </w:pPr>
            <w:r>
              <w:rPr>
                <w:sz w:val="24"/>
              </w:rPr>
              <w:t xml:space="preserve">Индивидуальное/в составе коллектива</w:t>
            </w:r>
          </w:p>
        </w:tc>
        <w:tc>
          <w:tcPr>
            <w:tcW w:w="1579" w:type="dxa"/>
          </w:tcPr>
          <w:p>
            <w:pPr>
              <w:pStyle w:val="0"/>
            </w:pPr>
            <w:r>
              <w:rPr>
                <w:sz w:val="24"/>
              </w:rPr>
              <w:t xml:space="preserve">Очное</w:t>
            </w:r>
          </w:p>
        </w:tc>
        <w:tc>
          <w:tcPr>
            <w:tcW w:w="1339" w:type="dxa"/>
          </w:tcPr>
          <w:p>
            <w:pPr>
              <w:pStyle w:val="0"/>
            </w:pPr>
            <w:r>
              <w:rPr>
                <w:sz w:val="24"/>
              </w:rPr>
              <w:t xml:space="preserve">50</w:t>
            </w:r>
          </w:p>
        </w:tc>
      </w:tr>
      <w:tr>
        <w:tc>
          <w:tcPr>
            <w:vMerge w:val="continue"/>
          </w:tcPr>
          <w:p/>
        </w:tc>
        <w:tc>
          <w:tcPr>
            <w:vMerge w:val="continue"/>
          </w:tcPr>
          <w:p/>
        </w:tc>
        <w:tc>
          <w:tcPr>
            <w:vMerge w:val="continue"/>
          </w:tcPr>
          <w:p/>
        </w:tc>
        <w:tc>
          <w:tcPr>
            <w:vMerge w:val="continue"/>
          </w:tcPr>
          <w:p/>
        </w:tc>
        <w:tc>
          <w:tcPr>
            <w:tcW w:w="1579" w:type="dxa"/>
          </w:tcPr>
          <w:p>
            <w:pPr>
              <w:pStyle w:val="0"/>
            </w:pPr>
            <w:r>
              <w:rPr>
                <w:sz w:val="24"/>
              </w:rPr>
              <w:t xml:space="preserve">Заочное</w:t>
            </w:r>
          </w:p>
        </w:tc>
        <w:tc>
          <w:tcPr>
            <w:tcW w:w="1339" w:type="dxa"/>
          </w:tcPr>
          <w:p>
            <w:pPr>
              <w:pStyle w:val="0"/>
            </w:pPr>
            <w:r>
              <w:rPr>
                <w:sz w:val="24"/>
              </w:rPr>
              <w:t xml:space="preserve">25</w:t>
            </w:r>
          </w:p>
        </w:tc>
      </w:tr>
      <w:tr>
        <w:tc>
          <w:tcPr>
            <w:tcW w:w="454" w:type="dxa"/>
          </w:tcPr>
          <w:p>
            <w:pPr>
              <w:pStyle w:val="0"/>
              <w:jc w:val="both"/>
            </w:pPr>
            <w:r>
              <w:rPr>
                <w:sz w:val="24"/>
              </w:rPr>
              <w:t xml:space="preserve">24.</w:t>
            </w:r>
          </w:p>
        </w:tc>
        <w:tc>
          <w:tcPr>
            <w:tcW w:w="3409" w:type="dxa"/>
          </w:tcPr>
          <w:p>
            <w:pPr>
              <w:pStyle w:val="0"/>
            </w:pPr>
            <w:r>
              <w:rPr>
                <w:sz w:val="24"/>
              </w:rPr>
              <w:t xml:space="preserve">Участие в студенческом самоуправлении в качестве председателя студенческого совета, старосты курса (группы)</w:t>
            </w:r>
          </w:p>
        </w:tc>
        <w:tc>
          <w:tcPr>
            <w:tcW w:w="2404" w:type="dxa"/>
          </w:tcPr>
          <w:p>
            <w:pPr>
              <w:pStyle w:val="0"/>
            </w:pPr>
            <w:r>
              <w:rPr>
                <w:sz w:val="24"/>
              </w:rPr>
              <w:t xml:space="preserve">Участник</w:t>
            </w:r>
          </w:p>
        </w:tc>
        <w:tc>
          <w:tcPr>
            <w:tcW w:w="1999" w:type="dxa"/>
          </w:tcPr>
          <w:p>
            <w:pPr>
              <w:pStyle w:val="0"/>
            </w:pPr>
            <w:r>
              <w:rPr>
                <w:sz w:val="24"/>
              </w:rPr>
              <w:t xml:space="preserve">Индивидуально</w:t>
            </w:r>
          </w:p>
        </w:tc>
        <w:tc>
          <w:tcPr>
            <w:tcW w:w="1579" w:type="dxa"/>
          </w:tcPr>
          <w:p>
            <w:pPr>
              <w:pStyle w:val="0"/>
            </w:pPr>
            <w:r>
              <w:rPr>
                <w:sz w:val="24"/>
              </w:rPr>
              <w:t xml:space="preserve">Очно</w:t>
            </w:r>
          </w:p>
        </w:tc>
        <w:tc>
          <w:tcPr>
            <w:tcW w:w="1339" w:type="dxa"/>
          </w:tcPr>
          <w:p>
            <w:pPr>
              <w:pStyle w:val="0"/>
            </w:pPr>
            <w:r>
              <w:rPr>
                <w:sz w:val="24"/>
              </w:rPr>
              <w:t xml:space="preserve">40</w:t>
            </w:r>
          </w:p>
        </w:tc>
      </w:tr>
      <w:tr>
        <w:tc>
          <w:tcPr>
            <w:tcW w:w="454" w:type="dxa"/>
          </w:tcPr>
          <w:p>
            <w:pPr>
              <w:pStyle w:val="0"/>
              <w:jc w:val="both"/>
            </w:pPr>
            <w:r>
              <w:rPr>
                <w:sz w:val="24"/>
              </w:rPr>
              <w:t xml:space="preserve">25.</w:t>
            </w:r>
          </w:p>
        </w:tc>
        <w:tc>
          <w:tcPr>
            <w:tcW w:w="3409" w:type="dxa"/>
          </w:tcPr>
          <w:p>
            <w:pPr>
              <w:pStyle w:val="0"/>
            </w:pPr>
            <w:r>
              <w:rPr>
                <w:sz w:val="24"/>
              </w:rPr>
              <w:t xml:space="preserve">Наличие по всем предметам обучения оценки "отлично" по итогам предыдущего учебного курса</w:t>
            </w:r>
          </w:p>
        </w:tc>
        <w:tc>
          <w:tcPr>
            <w:tcW w:w="2404" w:type="dxa"/>
          </w:tcPr>
          <w:p>
            <w:pPr>
              <w:pStyle w:val="0"/>
            </w:pPr>
            <w:r>
              <w:rPr>
                <w:sz w:val="24"/>
              </w:rPr>
            </w:r>
          </w:p>
        </w:tc>
        <w:tc>
          <w:tcPr>
            <w:tcW w:w="1999" w:type="dxa"/>
          </w:tcPr>
          <w:p>
            <w:pPr>
              <w:pStyle w:val="0"/>
            </w:pPr>
            <w:r>
              <w:rPr>
                <w:sz w:val="24"/>
              </w:rPr>
              <w:t xml:space="preserve">Индивидуально</w:t>
            </w:r>
          </w:p>
        </w:tc>
        <w:tc>
          <w:tcPr>
            <w:tcW w:w="1579" w:type="dxa"/>
          </w:tcPr>
          <w:p>
            <w:pPr>
              <w:pStyle w:val="0"/>
            </w:pPr>
            <w:r>
              <w:rPr>
                <w:sz w:val="24"/>
              </w:rPr>
              <w:t xml:space="preserve">Очно</w:t>
            </w:r>
          </w:p>
        </w:tc>
        <w:tc>
          <w:tcPr>
            <w:tcW w:w="1339" w:type="dxa"/>
          </w:tcPr>
          <w:p>
            <w:pPr>
              <w:pStyle w:val="0"/>
            </w:pPr>
            <w:r>
              <w:rPr>
                <w:sz w:val="24"/>
              </w:rPr>
              <w:t xml:space="preserve">50</w:t>
            </w:r>
          </w:p>
        </w:tc>
      </w:tr>
      <w:tr>
        <w:tc>
          <w:tcPr>
            <w:tcW w:w="454" w:type="dxa"/>
            <w:vMerge w:val="restart"/>
          </w:tcPr>
          <w:p>
            <w:pPr>
              <w:pStyle w:val="0"/>
              <w:jc w:val="both"/>
            </w:pPr>
            <w:r>
              <w:rPr>
                <w:sz w:val="24"/>
              </w:rPr>
              <w:t xml:space="preserve">26.</w:t>
            </w:r>
          </w:p>
        </w:tc>
        <w:tc>
          <w:tcPr>
            <w:tcW w:w="3409" w:type="dxa"/>
            <w:vMerge w:val="restart"/>
          </w:tcPr>
          <w:p>
            <w:pPr>
              <w:pStyle w:val="0"/>
            </w:pPr>
            <w:r>
              <w:rPr>
                <w:sz w:val="24"/>
              </w:rPr>
              <w:t xml:space="preserve">Осуществление добровольческой деятельности, связанной с обслуживанием и организацией сервиса культурно-просветительских мероприятий, в качестве волонтера культуры</w:t>
            </w:r>
          </w:p>
        </w:tc>
        <w:tc>
          <w:tcPr>
            <w:tcW w:w="2404" w:type="dxa"/>
            <w:vMerge w:val="restart"/>
          </w:tcPr>
          <w:p>
            <w:pPr>
              <w:pStyle w:val="0"/>
            </w:pPr>
            <w:r>
              <w:rPr>
                <w:sz w:val="24"/>
              </w:rPr>
              <w:t xml:space="preserve">Участник</w:t>
            </w:r>
          </w:p>
        </w:tc>
        <w:tc>
          <w:tcPr>
            <w:tcW w:w="1999" w:type="dxa"/>
          </w:tcPr>
          <w:p>
            <w:pPr>
              <w:pStyle w:val="0"/>
            </w:pPr>
            <w:r>
              <w:rPr>
                <w:sz w:val="24"/>
              </w:rPr>
              <w:t xml:space="preserve">Индивидуальное (занятость до 20 часов в год)</w:t>
            </w:r>
          </w:p>
        </w:tc>
        <w:tc>
          <w:tcPr>
            <w:tcW w:w="1579" w:type="dxa"/>
          </w:tcPr>
          <w:p>
            <w:pPr>
              <w:pStyle w:val="0"/>
            </w:pPr>
            <w:r>
              <w:rPr>
                <w:sz w:val="24"/>
              </w:rPr>
              <w:t xml:space="preserve">Очное</w:t>
            </w:r>
          </w:p>
        </w:tc>
        <w:tc>
          <w:tcPr>
            <w:tcW w:w="1339" w:type="dxa"/>
          </w:tcPr>
          <w:p>
            <w:pPr>
              <w:pStyle w:val="0"/>
            </w:pPr>
            <w:r>
              <w:rPr>
                <w:sz w:val="24"/>
              </w:rPr>
              <w:t xml:space="preserve">30</w:t>
            </w:r>
          </w:p>
        </w:tc>
      </w:tr>
      <w:tr>
        <w:tc>
          <w:tcPr>
            <w:vMerge w:val="continue"/>
          </w:tcPr>
          <w:p/>
        </w:tc>
        <w:tc>
          <w:tcPr>
            <w:vMerge w:val="continue"/>
          </w:tcPr>
          <w:p/>
        </w:tc>
        <w:tc>
          <w:tcPr>
            <w:vMerge w:val="continue"/>
          </w:tcPr>
          <w:p/>
        </w:tc>
        <w:tc>
          <w:tcPr>
            <w:tcW w:w="1999" w:type="dxa"/>
          </w:tcPr>
          <w:p>
            <w:pPr>
              <w:pStyle w:val="0"/>
            </w:pPr>
            <w:r>
              <w:rPr>
                <w:sz w:val="24"/>
              </w:rPr>
              <w:t xml:space="preserve">Индивидуальное (занятость свыше 20 часов в год)</w:t>
            </w:r>
          </w:p>
        </w:tc>
        <w:tc>
          <w:tcPr>
            <w:tcW w:w="1579" w:type="dxa"/>
          </w:tcPr>
          <w:p>
            <w:pPr>
              <w:pStyle w:val="0"/>
            </w:pPr>
            <w:r>
              <w:rPr>
                <w:sz w:val="24"/>
              </w:rPr>
              <w:t xml:space="preserve">Очное</w:t>
            </w:r>
          </w:p>
        </w:tc>
        <w:tc>
          <w:tcPr>
            <w:tcW w:w="1339" w:type="dxa"/>
          </w:tcPr>
          <w:p>
            <w:pPr>
              <w:pStyle w:val="0"/>
            </w:pPr>
            <w:r>
              <w:rPr>
                <w:sz w:val="24"/>
              </w:rPr>
              <w:t xml:space="preserve">80</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45"/>
      <w:headerReference w:type="first" r:id="rId45"/>
      <w:footerReference w:type="default" r:id="rId46"/>
      <w:footerReference w:type="first" r:id="rId46"/>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Иркутской области от 11.12.2023 N 407-уг</w:t>
            <w:br/>
            <w:t>(ред. от 18.11.2025)</w:t>
            <w:br/>
            <w:t>"О стипендиях Губернатора Иркутской облас...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03.12.2025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Указ Губернатора Иркутской области от 11.12.2023 N 407-уг</w:t>
            <w:br/>
            <w:t>(ред. от 18.11.2025)</w:t>
            <w:br/>
            <w:t>"О стипендиях Губернатора Иркутской облас...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11&amp;n=211002&amp;date=03.12.2025&amp;dst=100007&amp;field=134" TargetMode = "External"/><Relationship Id="rId9" Type="http://schemas.openxmlformats.org/officeDocument/2006/relationships/hyperlink" Target="https://login.consultant.ru/link/?req=doc&amp;base=RLAW411&amp;n=216103&amp;date=03.12.2025&amp;dst=100007&amp;field=134" TargetMode = "External"/><Relationship Id="rId10" Type="http://schemas.openxmlformats.org/officeDocument/2006/relationships/hyperlink" Target="https://login.consultant.ru/link/?req=doc&amp;base=RLAW411&amp;n=226241&amp;date=03.12.2025&amp;dst=100007&amp;field=134" TargetMode = "External"/><Relationship Id="rId11" Type="http://schemas.openxmlformats.org/officeDocument/2006/relationships/hyperlink" Target="https://login.consultant.ru/link/?req=doc&amp;base=RLAW411&amp;n=206854&amp;date=03.12.2025&amp;dst=100072&amp;field=134" TargetMode = "External"/><Relationship Id="rId12" Type="http://schemas.openxmlformats.org/officeDocument/2006/relationships/hyperlink" Target="https://login.consultant.ru/link/?req=doc&amp;base=RLAW411&amp;n=216538&amp;date=03.12.2025&amp;dst=100472&amp;field=134" TargetMode = "External"/><Relationship Id="rId13" Type="http://schemas.openxmlformats.org/officeDocument/2006/relationships/hyperlink" Target="https://login.consultant.ru/link/?req=doc&amp;base=RLAW411&amp;n=197465&amp;date=03.12.2025" TargetMode = "External"/><Relationship Id="rId14" Type="http://schemas.openxmlformats.org/officeDocument/2006/relationships/hyperlink" Target="https://login.consultant.ru/link/?req=doc&amp;base=RLAW411&amp;n=88089&amp;date=03.12.2025" TargetMode = "External"/><Relationship Id="rId15" Type="http://schemas.openxmlformats.org/officeDocument/2006/relationships/hyperlink" Target="https://login.consultant.ru/link/?req=doc&amp;base=RLAW411&amp;n=128135&amp;date=03.12.2025" TargetMode = "External"/><Relationship Id="rId16" Type="http://schemas.openxmlformats.org/officeDocument/2006/relationships/hyperlink" Target="https://login.consultant.ru/link/?req=doc&amp;base=RLAW411&amp;n=145090&amp;date=03.12.2025" TargetMode = "External"/><Relationship Id="rId17" Type="http://schemas.openxmlformats.org/officeDocument/2006/relationships/hyperlink" Target="https://login.consultant.ru/link/?req=doc&amp;base=RLAW411&amp;n=143319&amp;date=03.12.2025" TargetMode = "External"/><Relationship Id="rId18" Type="http://schemas.openxmlformats.org/officeDocument/2006/relationships/hyperlink" Target="https://login.consultant.ru/link/?req=doc&amp;base=RLAW411&amp;n=164307&amp;date=03.12.2025" TargetMode = "External"/><Relationship Id="rId19" Type="http://schemas.openxmlformats.org/officeDocument/2006/relationships/hyperlink" Target="https://login.consultant.ru/link/?req=doc&amp;base=RLAW411&amp;n=171228&amp;date=03.12.2025" TargetMode = "External"/><Relationship Id="rId20" Type="http://schemas.openxmlformats.org/officeDocument/2006/relationships/hyperlink" Target="https://login.consultant.ru/link/?req=doc&amp;base=RLAW411&amp;n=177114&amp;date=03.12.2025" TargetMode = "External"/><Relationship Id="rId21" Type="http://schemas.openxmlformats.org/officeDocument/2006/relationships/hyperlink" Target="https://login.consultant.ru/link/?req=doc&amp;base=RLAW411&amp;n=197164&amp;date=03.12.2025" TargetMode = "External"/><Relationship Id="rId22" Type="http://schemas.openxmlformats.org/officeDocument/2006/relationships/hyperlink" Target="http://www.ogirk.ru" TargetMode = "External"/><Relationship Id="rId23" Type="http://schemas.openxmlformats.org/officeDocument/2006/relationships/hyperlink" Target="www.pravo.gov.ru" TargetMode = "External"/><Relationship Id="rId24" Type="http://schemas.openxmlformats.org/officeDocument/2006/relationships/hyperlink" Target="https://login.consultant.ru/link/?req=doc&amp;base=RLAW411&amp;n=211002&amp;date=03.12.2025&amp;dst=100007&amp;field=134" TargetMode = "External"/><Relationship Id="rId25" Type="http://schemas.openxmlformats.org/officeDocument/2006/relationships/hyperlink" Target="https://login.consultant.ru/link/?req=doc&amp;base=RLAW411&amp;n=216103&amp;date=03.12.2025&amp;dst=100007&amp;field=134" TargetMode = "External"/><Relationship Id="rId26" Type="http://schemas.openxmlformats.org/officeDocument/2006/relationships/hyperlink" Target="https://login.consultant.ru/link/?req=doc&amp;base=RLAW411&amp;n=226241&amp;date=03.12.2025&amp;dst=100007&amp;field=134" TargetMode = "External"/><Relationship Id="rId27" Type="http://schemas.openxmlformats.org/officeDocument/2006/relationships/hyperlink" Target="https://login.consultant.ru/link/?req=doc&amp;base=RLAW411&amp;n=226241&amp;date=03.12.2025&amp;dst=100008&amp;field=134" TargetMode = "External"/><Relationship Id="rId28" Type="http://schemas.openxmlformats.org/officeDocument/2006/relationships/hyperlink" Target="https://login.consultant.ru/link/?req=doc&amp;base=RLAW411&amp;n=216103&amp;date=03.12.2025&amp;dst=100008&amp;field=134" TargetMode = "External"/><Relationship Id="rId29" Type="http://schemas.openxmlformats.org/officeDocument/2006/relationships/hyperlink" Target="https://login.consultant.ru/link/?req=doc&amp;base=RLAW411&amp;n=226241&amp;date=03.12.2025&amp;dst=100009&amp;field=134" TargetMode = "External"/><Relationship Id="rId30" Type="http://schemas.openxmlformats.org/officeDocument/2006/relationships/hyperlink" Target="https://login.consultant.ru/link/?req=doc&amp;base=RLAW411&amp;n=226241&amp;date=03.12.2025&amp;dst=100011&amp;field=134" TargetMode = "External"/><Relationship Id="rId31" Type="http://schemas.openxmlformats.org/officeDocument/2006/relationships/hyperlink" Target="https://login.consultant.ru/link/?req=doc&amp;base=RLAW411&amp;n=211002&amp;date=03.12.2025&amp;dst=100007&amp;field=134" TargetMode = "External"/><Relationship Id="rId32" Type="http://schemas.openxmlformats.org/officeDocument/2006/relationships/hyperlink" Target="https://DOBRO.RU" TargetMode = "External"/><Relationship Id="rId33" Type="http://schemas.openxmlformats.org/officeDocument/2006/relationships/hyperlink" Target="https://login.consultant.ru/link/?req=doc&amp;base=RLAW411&amp;n=226241&amp;date=03.12.2025&amp;dst=100012&amp;field=134" TargetMode = "External"/><Relationship Id="rId34" Type="http://schemas.openxmlformats.org/officeDocument/2006/relationships/hyperlink" Target="https://login.consultant.ru/link/?req=doc&amp;base=RLAW411&amp;n=226241&amp;date=03.12.2025&amp;dst=100026&amp;field=134" TargetMode = "External"/><Relationship Id="rId35" Type="http://schemas.openxmlformats.org/officeDocument/2006/relationships/hyperlink" Target="https://login.consultant.ru/link/?req=doc&amp;base=RLAW411&amp;n=226241&amp;date=03.12.2025&amp;dst=100029&amp;field=134" TargetMode = "External"/><Relationship Id="rId36" Type="http://schemas.openxmlformats.org/officeDocument/2006/relationships/hyperlink" Target="https://login.consultant.ru/link/?req=doc&amp;base=RLAW411&amp;n=216103&amp;date=03.12.2025&amp;dst=100010&amp;field=134" TargetMode = "External"/><Relationship Id="rId37" Type="http://schemas.openxmlformats.org/officeDocument/2006/relationships/hyperlink" Target="https://login.consultant.ru/link/?req=doc&amp;base=RLAW411&amp;n=216103&amp;date=03.12.2025&amp;dst=100011&amp;field=134" TargetMode = "External"/><Relationship Id="rId38" Type="http://schemas.openxmlformats.org/officeDocument/2006/relationships/hyperlink" Target="https://login.consultant.ru/link/?req=doc&amp;base=RLAW411&amp;n=226241&amp;date=03.12.2025&amp;dst=100032&amp;field=134" TargetMode = "External"/><Relationship Id="rId39" Type="http://schemas.openxmlformats.org/officeDocument/2006/relationships/hyperlink" Target="https://login.consultant.ru/link/?req=doc&amp;base=RLAW411&amp;n=226241&amp;date=03.12.2025&amp;dst=100034&amp;field=134" TargetMode = "External"/><Relationship Id="rId40" Type="http://schemas.openxmlformats.org/officeDocument/2006/relationships/hyperlink" Target="https://login.consultant.ru/link/?req=doc&amp;base=RLAW411&amp;n=216103&amp;date=03.12.2025&amp;dst=100012&amp;field=134" TargetMode = "External"/><Relationship Id="rId41" Type="http://schemas.openxmlformats.org/officeDocument/2006/relationships/hyperlink" Target="https://login.consultant.ru/link/?req=doc&amp;base=RLAW411&amp;n=226241&amp;date=03.12.2025&amp;dst=100035&amp;field=134" TargetMode = "External"/><Relationship Id="rId42" Type="http://schemas.openxmlformats.org/officeDocument/2006/relationships/hyperlink" Target="https://login.consultant.ru/link/?req=doc&amp;base=RLAW411&amp;n=226241&amp;date=03.12.2025&amp;dst=100036&amp;field=134" TargetMode = "External"/><Relationship Id="rId43" Type="http://schemas.openxmlformats.org/officeDocument/2006/relationships/hyperlink" Target="https://login.consultant.ru/link/?req=doc&amp;base=RLAW411&amp;n=226241&amp;date=03.12.2025&amp;dst=100037&amp;field=134" TargetMode = "External"/><Relationship Id="rId44" Type="http://schemas.openxmlformats.org/officeDocument/2006/relationships/hyperlink" Target="https://login.consultant.ru/link/?req=doc&amp;base=RLAW411&amp;n=226241&amp;date=03.12.2025&amp;dst=100038&amp;field=134" TargetMode = "External"/><Relationship Id="rId45" Type="http://schemas.openxmlformats.org/officeDocument/2006/relationships/header" Target="header2.xml"/><Relationship Id="rId46" Type="http://schemas.openxmlformats.org/officeDocument/2006/relationships/footer" Target="footer2.xml"/><Relationship Id="rId47" Type="http://schemas.openxmlformats.org/officeDocument/2006/relationships/hyperlink" Target="https://login.consultant.ru/link/?req=doc&amp;base=RLAW411&amp;n=226241&amp;date=03.12.2025&amp;dst=100047&amp;field=134" TargetMode = "External"/><Relationship Id="rId48" Type="http://schemas.openxmlformats.org/officeDocument/2006/relationships/hyperlink" Target="https://login.consultant.ru/link/?req=doc&amp;base=RLAW411&amp;n=226241&amp;date=03.12.2025&amp;dst=100049&amp;field=134" TargetMode = "External"/><Relationship Id="rId49" Type="http://schemas.openxmlformats.org/officeDocument/2006/relationships/hyperlink" Target="https://login.consultant.ru/link/?req=doc&amp;base=RLAW411&amp;n=226241&amp;date=03.12.2025&amp;dst=100526&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Иркутской области от 11.12.2023 N 407-уг
(ред. от 18.11.2025)
"О стипендиях Губернатора Иркутской области для одаренных детей и талантливой молодежи за достижения в области культуры и искусства и признании утратившими силу отдельных указов Губернатора Иркутской области"
(вместе с "Положением о стипендиях Губернатора Иркутской области для одаренных детей и талантливой молодежи за достижения в области культуры и искусства")</dc:title>
  <dcterms:created xsi:type="dcterms:W3CDTF">2025-12-03T08:07:59Z</dcterms:created>
</cp:coreProperties>
</file>